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C33D" w14:textId="59F73320" w:rsidR="00C43C83" w:rsidRPr="00641A4F" w:rsidRDefault="00641A4F">
      <w:pPr>
        <w:rPr>
          <w:noProof/>
          <w:u w:val="single"/>
          <w:lang w:eastAsia="en-GB"/>
        </w:rPr>
      </w:pPr>
      <w:r w:rsidRPr="00641A4F">
        <w:rPr>
          <w:noProof/>
          <w:u w:val="single"/>
          <w:lang w:eastAsia="en-GB"/>
        </w:rPr>
        <w:t>Mallinson Centre, Highgate School, Bishopswood Road N6 4NY</w:t>
      </w:r>
    </w:p>
    <w:p w14:paraId="270F67D6" w14:textId="4AF00AB8" w:rsidR="004C0A2F" w:rsidRDefault="00C43C83">
      <w:r>
        <w:rPr>
          <w:noProof/>
          <w:lang w:eastAsia="en-GB"/>
        </w:rPr>
        <w:drawing>
          <wp:inline distT="0" distB="0" distL="0" distR="0" wp14:anchorId="7537C039" wp14:editId="6D2D47F7">
            <wp:extent cx="5731510" cy="4051935"/>
            <wp:effectExtent l="0" t="0" r="2540" b="5715"/>
            <wp:docPr id="2" name="Picture 2" descr="C:\Users\Christopher Hill\Docume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opher Hill\Document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1522" w:type="dxa"/>
        <w:tblInd w:w="-1026" w:type="dxa"/>
        <w:tblLook w:val="04A0" w:firstRow="1" w:lastRow="0" w:firstColumn="1" w:lastColumn="0" w:noHBand="0" w:noVBand="1"/>
      </w:tblPr>
      <w:tblGrid>
        <w:gridCol w:w="572"/>
        <w:gridCol w:w="937"/>
        <w:gridCol w:w="679"/>
        <w:gridCol w:w="590"/>
        <w:gridCol w:w="706"/>
        <w:gridCol w:w="617"/>
        <w:gridCol w:w="1150"/>
        <w:gridCol w:w="901"/>
        <w:gridCol w:w="2268"/>
        <w:gridCol w:w="1843"/>
        <w:gridCol w:w="714"/>
        <w:gridCol w:w="545"/>
      </w:tblGrid>
      <w:tr w:rsidR="0010160E" w:rsidRPr="005D4B16" w14:paraId="21DC6F98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7DE313CB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Tree ID</w:t>
            </w:r>
          </w:p>
        </w:tc>
        <w:tc>
          <w:tcPr>
            <w:tcW w:w="937" w:type="dxa"/>
            <w:noWrap/>
            <w:hideMark/>
          </w:tcPr>
          <w:p w14:paraId="0B7B4C0F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Common Name</w:t>
            </w:r>
          </w:p>
        </w:tc>
        <w:tc>
          <w:tcPr>
            <w:tcW w:w="679" w:type="dxa"/>
            <w:noWrap/>
            <w:hideMark/>
          </w:tcPr>
          <w:p w14:paraId="142191ED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Height (m)</w:t>
            </w:r>
          </w:p>
        </w:tc>
        <w:tc>
          <w:tcPr>
            <w:tcW w:w="590" w:type="dxa"/>
            <w:noWrap/>
            <w:hideMark/>
          </w:tcPr>
          <w:p w14:paraId="66E7E698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DBH (mm)</w:t>
            </w:r>
          </w:p>
        </w:tc>
        <w:tc>
          <w:tcPr>
            <w:tcW w:w="706" w:type="dxa"/>
            <w:noWrap/>
            <w:hideMark/>
          </w:tcPr>
          <w:p w14:paraId="69864995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Crown spread (m)</w:t>
            </w:r>
          </w:p>
        </w:tc>
        <w:tc>
          <w:tcPr>
            <w:tcW w:w="617" w:type="dxa"/>
            <w:noWrap/>
            <w:hideMark/>
          </w:tcPr>
          <w:p w14:paraId="5FC1B657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Age Class</w:t>
            </w:r>
          </w:p>
        </w:tc>
        <w:tc>
          <w:tcPr>
            <w:tcW w:w="1150" w:type="dxa"/>
            <w:noWrap/>
            <w:hideMark/>
          </w:tcPr>
          <w:p w14:paraId="257CFFF3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Physiological Condition</w:t>
            </w:r>
          </w:p>
        </w:tc>
        <w:tc>
          <w:tcPr>
            <w:tcW w:w="901" w:type="dxa"/>
            <w:noWrap/>
            <w:hideMark/>
          </w:tcPr>
          <w:p w14:paraId="4773C6AC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Structural Condition</w:t>
            </w:r>
          </w:p>
        </w:tc>
        <w:tc>
          <w:tcPr>
            <w:tcW w:w="2268" w:type="dxa"/>
            <w:noWrap/>
            <w:hideMark/>
          </w:tcPr>
          <w:p w14:paraId="3F999392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Observations</w:t>
            </w:r>
          </w:p>
        </w:tc>
        <w:tc>
          <w:tcPr>
            <w:tcW w:w="1843" w:type="dxa"/>
            <w:noWrap/>
            <w:hideMark/>
          </w:tcPr>
          <w:p w14:paraId="01BF0EC7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Recommendation</w:t>
            </w:r>
          </w:p>
        </w:tc>
        <w:tc>
          <w:tcPr>
            <w:tcW w:w="714" w:type="dxa"/>
            <w:noWrap/>
            <w:hideMark/>
          </w:tcPr>
          <w:p w14:paraId="19A68764" w14:textId="77777777" w:rsidR="0010160E" w:rsidRPr="005D4B16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Priority</w:t>
            </w:r>
          </w:p>
        </w:tc>
        <w:tc>
          <w:tcPr>
            <w:tcW w:w="545" w:type="dxa"/>
            <w:noWrap/>
            <w:hideMark/>
          </w:tcPr>
          <w:p w14:paraId="24A4C96B" w14:textId="77777777" w:rsidR="0010160E" w:rsidRPr="005D4B16" w:rsidRDefault="0010160E" w:rsidP="00123948">
            <w:pPr>
              <w:tabs>
                <w:tab w:val="left" w:pos="6798"/>
              </w:tabs>
              <w:rPr>
                <w:rFonts w:ascii="Arial" w:hAnsi="Arial" w:cs="Arial"/>
                <w:sz w:val="16"/>
                <w:szCs w:val="16"/>
              </w:rPr>
            </w:pPr>
            <w:r w:rsidRPr="005D4B16">
              <w:rPr>
                <w:rFonts w:ascii="Arial" w:hAnsi="Arial" w:cs="Arial"/>
                <w:sz w:val="16"/>
                <w:szCs w:val="16"/>
              </w:rPr>
              <w:t>Insp Freq</w:t>
            </w:r>
          </w:p>
          <w:p w14:paraId="60CFE04A" w14:textId="77777777" w:rsidR="0010160E" w:rsidRPr="005D4B16" w:rsidRDefault="0010160E" w:rsidP="00123948">
            <w:pPr>
              <w:tabs>
                <w:tab w:val="left" w:pos="6798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0160E" w:rsidRPr="0021528E" w14:paraId="0AF7599B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20B1E59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3660</w:t>
            </w:r>
          </w:p>
        </w:tc>
        <w:tc>
          <w:tcPr>
            <w:tcW w:w="937" w:type="dxa"/>
            <w:noWrap/>
            <w:hideMark/>
          </w:tcPr>
          <w:p w14:paraId="63C1EE1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Lime</w:t>
            </w:r>
          </w:p>
        </w:tc>
        <w:tc>
          <w:tcPr>
            <w:tcW w:w="679" w:type="dxa"/>
            <w:noWrap/>
            <w:hideMark/>
          </w:tcPr>
          <w:p w14:paraId="21D76AC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90" w:type="dxa"/>
            <w:noWrap/>
            <w:hideMark/>
          </w:tcPr>
          <w:p w14:paraId="602740C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06" w:type="dxa"/>
            <w:noWrap/>
            <w:hideMark/>
          </w:tcPr>
          <w:p w14:paraId="5CEC39B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7" w:type="dxa"/>
            <w:noWrap/>
            <w:hideMark/>
          </w:tcPr>
          <w:p w14:paraId="6D6F79F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68A62FE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4A88757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700FAAE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Tall tree with extending limbs. Significant dead wood over road.</w:t>
            </w:r>
          </w:p>
        </w:tc>
        <w:tc>
          <w:tcPr>
            <w:tcW w:w="1843" w:type="dxa"/>
            <w:noWrap/>
            <w:hideMark/>
          </w:tcPr>
          <w:p w14:paraId="241B403F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Remove significant</w:t>
            </w:r>
            <w:r>
              <w:rPr>
                <w:rFonts w:ascii="Arial" w:hAnsi="Arial" w:cs="Arial"/>
                <w:sz w:val="16"/>
                <w:szCs w:val="16"/>
              </w:rPr>
              <w:t xml:space="preserve"> dead wood. Reduce canopy by 5m to reduce risk of failure</w:t>
            </w:r>
          </w:p>
          <w:p w14:paraId="447C87E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7875982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525B131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12 </w:t>
            </w:r>
          </w:p>
        </w:tc>
      </w:tr>
      <w:tr w:rsidR="0010160E" w:rsidRPr="0021528E" w14:paraId="3E514FD0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4E354E6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3661</w:t>
            </w:r>
          </w:p>
        </w:tc>
        <w:tc>
          <w:tcPr>
            <w:tcW w:w="937" w:type="dxa"/>
            <w:noWrap/>
            <w:hideMark/>
          </w:tcPr>
          <w:p w14:paraId="6E0D76A5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Common L</w:t>
            </w:r>
            <w:r w:rsidRPr="0021528E">
              <w:rPr>
                <w:rFonts w:ascii="Arial" w:hAnsi="Arial" w:cs="Arial"/>
                <w:sz w:val="16"/>
                <w:szCs w:val="16"/>
              </w:rPr>
              <w:t>ime</w:t>
            </w:r>
            <w:r>
              <w:rPr>
                <w:rFonts w:ascii="Arial" w:hAnsi="Arial" w:cs="Arial"/>
                <w:sz w:val="16"/>
                <w:szCs w:val="16"/>
              </w:rPr>
              <w:t xml:space="preserve"> x 4</w:t>
            </w:r>
          </w:p>
        </w:tc>
        <w:tc>
          <w:tcPr>
            <w:tcW w:w="679" w:type="dxa"/>
            <w:noWrap/>
            <w:hideMark/>
          </w:tcPr>
          <w:p w14:paraId="158D7EB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590" w:type="dxa"/>
            <w:noWrap/>
            <w:hideMark/>
          </w:tcPr>
          <w:p w14:paraId="704420F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706" w:type="dxa"/>
            <w:noWrap/>
            <w:hideMark/>
          </w:tcPr>
          <w:p w14:paraId="00B119F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hideMark/>
          </w:tcPr>
          <w:p w14:paraId="253EE7B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794CF58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1875414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65555C2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Line of</w:t>
            </w:r>
            <w:r>
              <w:rPr>
                <w:rFonts w:ascii="Arial" w:hAnsi="Arial" w:cs="Arial"/>
                <w:sz w:val="16"/>
                <w:szCs w:val="16"/>
              </w:rPr>
              <w:t xml:space="preserve"> 4</w:t>
            </w:r>
            <w:r w:rsidRPr="0021528E">
              <w:rPr>
                <w:rFonts w:ascii="Arial" w:hAnsi="Arial" w:cs="Arial"/>
                <w:sz w:val="16"/>
                <w:szCs w:val="16"/>
              </w:rPr>
              <w:t xml:space="preserve"> lime trees. Long limbs extending over road and parked cars. Dead wood.</w:t>
            </w:r>
          </w:p>
        </w:tc>
        <w:tc>
          <w:tcPr>
            <w:tcW w:w="1843" w:type="dxa"/>
            <w:noWrap/>
            <w:hideMark/>
          </w:tcPr>
          <w:p w14:paraId="16BD9346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</w:t>
            </w:r>
            <w:r>
              <w:rPr>
                <w:rFonts w:ascii="Arial" w:hAnsi="Arial" w:cs="Arial"/>
                <w:sz w:val="16"/>
                <w:szCs w:val="16"/>
              </w:rPr>
              <w:t>duce overextending limbs by 2-3m to reduce risk of failure.</w:t>
            </w:r>
            <w:r w:rsidRPr="0021528E">
              <w:rPr>
                <w:rFonts w:ascii="Arial" w:hAnsi="Arial" w:cs="Arial"/>
                <w:sz w:val="16"/>
                <w:szCs w:val="16"/>
              </w:rPr>
              <w:t xml:space="preserve"> Remove significant dead wood.</w:t>
            </w:r>
          </w:p>
          <w:p w14:paraId="01C79A0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616BED55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047CAEF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5751701D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506FB1B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3662</w:t>
            </w:r>
          </w:p>
        </w:tc>
        <w:tc>
          <w:tcPr>
            <w:tcW w:w="937" w:type="dxa"/>
            <w:noWrap/>
            <w:hideMark/>
          </w:tcPr>
          <w:p w14:paraId="6802449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Lime</w:t>
            </w:r>
          </w:p>
        </w:tc>
        <w:tc>
          <w:tcPr>
            <w:tcW w:w="679" w:type="dxa"/>
            <w:noWrap/>
            <w:hideMark/>
          </w:tcPr>
          <w:p w14:paraId="3A0E907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90" w:type="dxa"/>
            <w:noWrap/>
            <w:hideMark/>
          </w:tcPr>
          <w:p w14:paraId="5BC96B9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06" w:type="dxa"/>
            <w:noWrap/>
            <w:hideMark/>
          </w:tcPr>
          <w:p w14:paraId="59306BF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17" w:type="dxa"/>
            <w:noWrap/>
            <w:hideMark/>
          </w:tcPr>
          <w:p w14:paraId="31AA0DB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63DBEC8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070EF8B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6467C13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Tall </w:t>
            </w:r>
            <w:r>
              <w:rPr>
                <w:rFonts w:ascii="Arial" w:hAnsi="Arial" w:cs="Arial"/>
                <w:sz w:val="16"/>
                <w:szCs w:val="16"/>
              </w:rPr>
              <w:t xml:space="preserve">tree </w:t>
            </w:r>
            <w:r w:rsidRPr="0021528E">
              <w:rPr>
                <w:rFonts w:ascii="Arial" w:hAnsi="Arial" w:cs="Arial"/>
                <w:sz w:val="16"/>
                <w:szCs w:val="16"/>
              </w:rPr>
              <w:t>with long extending limbs.</w:t>
            </w:r>
          </w:p>
        </w:tc>
        <w:tc>
          <w:tcPr>
            <w:tcW w:w="1843" w:type="dxa"/>
            <w:noWrap/>
            <w:hideMark/>
          </w:tcPr>
          <w:p w14:paraId="7B6B70A7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Reduce canopy by 5m</w:t>
            </w:r>
            <w:r>
              <w:rPr>
                <w:rFonts w:ascii="Arial" w:hAnsi="Arial" w:cs="Arial"/>
                <w:sz w:val="16"/>
                <w:szCs w:val="16"/>
              </w:rPr>
              <w:t xml:space="preserve"> to reduce risk of failure.</w:t>
            </w:r>
          </w:p>
          <w:p w14:paraId="63CDC08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67602A0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6F3820D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47FC2B4C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6A46DA6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3663</w:t>
            </w:r>
          </w:p>
        </w:tc>
        <w:tc>
          <w:tcPr>
            <w:tcW w:w="937" w:type="dxa"/>
            <w:noWrap/>
            <w:hideMark/>
          </w:tcPr>
          <w:p w14:paraId="3B369C4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Lime</w:t>
            </w:r>
          </w:p>
        </w:tc>
        <w:tc>
          <w:tcPr>
            <w:tcW w:w="679" w:type="dxa"/>
            <w:noWrap/>
            <w:hideMark/>
          </w:tcPr>
          <w:p w14:paraId="391551D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90" w:type="dxa"/>
            <w:noWrap/>
            <w:hideMark/>
          </w:tcPr>
          <w:p w14:paraId="01F171F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706" w:type="dxa"/>
            <w:noWrap/>
            <w:hideMark/>
          </w:tcPr>
          <w:p w14:paraId="26AE91F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17" w:type="dxa"/>
            <w:noWrap/>
            <w:hideMark/>
          </w:tcPr>
          <w:p w14:paraId="122253C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49F5AA4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70913DB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0EF9F8A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Tall tree with </w:t>
            </w:r>
            <w:r>
              <w:rPr>
                <w:rFonts w:ascii="Arial" w:hAnsi="Arial" w:cs="Arial"/>
                <w:sz w:val="16"/>
                <w:szCs w:val="16"/>
              </w:rPr>
              <w:t xml:space="preserve">long </w:t>
            </w:r>
            <w:r w:rsidRPr="0021528E">
              <w:rPr>
                <w:rFonts w:ascii="Arial" w:hAnsi="Arial" w:cs="Arial"/>
                <w:sz w:val="16"/>
                <w:szCs w:val="16"/>
              </w:rPr>
              <w:t>extending limbs.</w:t>
            </w:r>
          </w:p>
        </w:tc>
        <w:tc>
          <w:tcPr>
            <w:tcW w:w="1843" w:type="dxa"/>
            <w:noWrap/>
            <w:hideMark/>
          </w:tcPr>
          <w:p w14:paraId="26C56169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Reduce canopy by 5m</w:t>
            </w:r>
            <w:r>
              <w:rPr>
                <w:rFonts w:ascii="Arial" w:hAnsi="Arial" w:cs="Arial"/>
                <w:sz w:val="16"/>
                <w:szCs w:val="16"/>
              </w:rPr>
              <w:t xml:space="preserve"> to reduce risk of failure.</w:t>
            </w:r>
          </w:p>
          <w:p w14:paraId="7D36AFD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3604BBE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6EA8421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0B72E9DA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3015CC4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3664</w:t>
            </w:r>
          </w:p>
        </w:tc>
        <w:tc>
          <w:tcPr>
            <w:tcW w:w="937" w:type="dxa"/>
            <w:noWrap/>
            <w:hideMark/>
          </w:tcPr>
          <w:p w14:paraId="4F4A156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Lime</w:t>
            </w:r>
          </w:p>
        </w:tc>
        <w:tc>
          <w:tcPr>
            <w:tcW w:w="679" w:type="dxa"/>
            <w:noWrap/>
            <w:hideMark/>
          </w:tcPr>
          <w:p w14:paraId="682331C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590" w:type="dxa"/>
            <w:noWrap/>
            <w:hideMark/>
          </w:tcPr>
          <w:p w14:paraId="2939B60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06" w:type="dxa"/>
            <w:noWrap/>
            <w:hideMark/>
          </w:tcPr>
          <w:p w14:paraId="2609D5E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617" w:type="dxa"/>
            <w:noWrap/>
            <w:hideMark/>
          </w:tcPr>
          <w:p w14:paraId="625F0BA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734FDE1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5A08D87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20648C6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Tall tree next to road.</w:t>
            </w:r>
          </w:p>
        </w:tc>
        <w:tc>
          <w:tcPr>
            <w:tcW w:w="1843" w:type="dxa"/>
            <w:noWrap/>
            <w:hideMark/>
          </w:tcPr>
          <w:p w14:paraId="4C6BBA24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Reduce canopy by 5m</w:t>
            </w:r>
            <w:r>
              <w:rPr>
                <w:rFonts w:ascii="Arial" w:hAnsi="Arial" w:cs="Arial"/>
                <w:sz w:val="16"/>
                <w:szCs w:val="16"/>
              </w:rPr>
              <w:t xml:space="preserve"> to reduce risk of failure.</w:t>
            </w:r>
          </w:p>
          <w:p w14:paraId="5BD0C5A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733C6C7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701908C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741858CF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52821A2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3665</w:t>
            </w:r>
          </w:p>
        </w:tc>
        <w:tc>
          <w:tcPr>
            <w:tcW w:w="937" w:type="dxa"/>
            <w:noWrap/>
            <w:hideMark/>
          </w:tcPr>
          <w:p w14:paraId="6432085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6E77821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90" w:type="dxa"/>
            <w:noWrap/>
            <w:hideMark/>
          </w:tcPr>
          <w:p w14:paraId="79C7AAC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1100</w:t>
            </w:r>
          </w:p>
        </w:tc>
        <w:tc>
          <w:tcPr>
            <w:tcW w:w="706" w:type="dxa"/>
            <w:noWrap/>
            <w:hideMark/>
          </w:tcPr>
          <w:p w14:paraId="7BEFE4D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hideMark/>
          </w:tcPr>
          <w:p w14:paraId="3D2A133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OM</w:t>
            </w:r>
          </w:p>
        </w:tc>
        <w:tc>
          <w:tcPr>
            <w:tcW w:w="1150" w:type="dxa"/>
            <w:noWrap/>
            <w:hideMark/>
          </w:tcPr>
          <w:p w14:paraId="1231325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04647D3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2268" w:type="dxa"/>
            <w:noWrap/>
            <w:hideMark/>
          </w:tcPr>
          <w:p w14:paraId="1E24390A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1528E">
              <w:rPr>
                <w:rFonts w:ascii="Arial" w:hAnsi="Arial" w:cs="Arial"/>
                <w:sz w:val="16"/>
                <w:szCs w:val="16"/>
              </w:rPr>
              <w:t>Kretzschmaria</w:t>
            </w:r>
            <w:proofErr w:type="spellEnd"/>
            <w:r w:rsidRPr="0021528E">
              <w:rPr>
                <w:rFonts w:ascii="Arial" w:hAnsi="Arial" w:cs="Arial"/>
                <w:sz w:val="16"/>
                <w:szCs w:val="16"/>
              </w:rPr>
              <w:t xml:space="preserve"> fruiting bodies on tension side at base a</w:t>
            </w:r>
            <w:r>
              <w:rPr>
                <w:rFonts w:ascii="Arial" w:hAnsi="Arial" w:cs="Arial"/>
                <w:sz w:val="16"/>
                <w:szCs w:val="16"/>
              </w:rPr>
              <w:t>nd up stem. Root girdling, dysfu</w:t>
            </w:r>
            <w:r w:rsidRPr="0021528E">
              <w:rPr>
                <w:rFonts w:ascii="Arial" w:hAnsi="Arial" w:cs="Arial"/>
                <w:sz w:val="16"/>
                <w:szCs w:val="16"/>
              </w:rPr>
              <w:t>nction and decay at base.</w:t>
            </w:r>
          </w:p>
          <w:p w14:paraId="6EAD05D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noWrap/>
            <w:hideMark/>
          </w:tcPr>
          <w:p w14:paraId="7EC6787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Fell.</w:t>
            </w:r>
          </w:p>
        </w:tc>
        <w:tc>
          <w:tcPr>
            <w:tcW w:w="714" w:type="dxa"/>
            <w:noWrap/>
            <w:hideMark/>
          </w:tcPr>
          <w:p w14:paraId="1F09AD8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5152E49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6680AB31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6513E2E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3669</w:t>
            </w:r>
          </w:p>
        </w:tc>
        <w:tc>
          <w:tcPr>
            <w:tcW w:w="937" w:type="dxa"/>
            <w:noWrap/>
            <w:hideMark/>
          </w:tcPr>
          <w:p w14:paraId="46F397F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0A19005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90" w:type="dxa"/>
            <w:noWrap/>
            <w:hideMark/>
          </w:tcPr>
          <w:p w14:paraId="7C2E28B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06" w:type="dxa"/>
            <w:noWrap/>
            <w:hideMark/>
          </w:tcPr>
          <w:p w14:paraId="11DD205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7" w:type="dxa"/>
            <w:noWrap/>
            <w:hideMark/>
          </w:tcPr>
          <w:p w14:paraId="6B2F83F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OM</w:t>
            </w:r>
          </w:p>
        </w:tc>
        <w:tc>
          <w:tcPr>
            <w:tcW w:w="1150" w:type="dxa"/>
            <w:noWrap/>
            <w:hideMark/>
          </w:tcPr>
          <w:p w14:paraId="18E7C34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901" w:type="dxa"/>
            <w:noWrap/>
            <w:hideMark/>
          </w:tcPr>
          <w:p w14:paraId="0E3B352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2268" w:type="dxa"/>
            <w:noWrap/>
            <w:hideMark/>
          </w:tcPr>
          <w:p w14:paraId="107352D8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2x dying trees. It is possible that nitrogen leaching from the grass clipping pile up hill is contributing to the significant number of dying trees.</w:t>
            </w:r>
          </w:p>
          <w:p w14:paraId="333DDFF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noWrap/>
            <w:hideMark/>
          </w:tcPr>
          <w:p w14:paraId="67C6DD9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Fell </w:t>
            </w:r>
          </w:p>
        </w:tc>
        <w:tc>
          <w:tcPr>
            <w:tcW w:w="714" w:type="dxa"/>
            <w:noWrap/>
            <w:hideMark/>
          </w:tcPr>
          <w:p w14:paraId="53303DF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7CC6824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468DDBEC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7134691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3670</w:t>
            </w:r>
          </w:p>
        </w:tc>
        <w:tc>
          <w:tcPr>
            <w:tcW w:w="937" w:type="dxa"/>
            <w:noWrap/>
            <w:hideMark/>
          </w:tcPr>
          <w:p w14:paraId="02AF8B1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2377C9F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590" w:type="dxa"/>
            <w:noWrap/>
            <w:hideMark/>
          </w:tcPr>
          <w:p w14:paraId="458D10E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6" w:type="dxa"/>
            <w:noWrap/>
            <w:hideMark/>
          </w:tcPr>
          <w:p w14:paraId="4FCE79E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17" w:type="dxa"/>
            <w:noWrap/>
            <w:hideMark/>
          </w:tcPr>
          <w:p w14:paraId="3F26B8A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OM</w:t>
            </w:r>
          </w:p>
        </w:tc>
        <w:tc>
          <w:tcPr>
            <w:tcW w:w="1150" w:type="dxa"/>
            <w:noWrap/>
            <w:hideMark/>
          </w:tcPr>
          <w:p w14:paraId="4B85D70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901" w:type="dxa"/>
            <w:noWrap/>
            <w:hideMark/>
          </w:tcPr>
          <w:p w14:paraId="6897CA0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2268" w:type="dxa"/>
            <w:noWrap/>
            <w:hideMark/>
          </w:tcPr>
          <w:p w14:paraId="222EC3F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Dying tree.</w:t>
            </w:r>
          </w:p>
        </w:tc>
        <w:tc>
          <w:tcPr>
            <w:tcW w:w="1843" w:type="dxa"/>
            <w:noWrap/>
            <w:hideMark/>
          </w:tcPr>
          <w:p w14:paraId="771FB40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Fell.</w:t>
            </w:r>
          </w:p>
        </w:tc>
        <w:tc>
          <w:tcPr>
            <w:tcW w:w="714" w:type="dxa"/>
            <w:noWrap/>
            <w:hideMark/>
          </w:tcPr>
          <w:p w14:paraId="1649D18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28F7D40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2322D36D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4B3ABC3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3671</w:t>
            </w:r>
          </w:p>
        </w:tc>
        <w:tc>
          <w:tcPr>
            <w:tcW w:w="937" w:type="dxa"/>
            <w:noWrap/>
            <w:hideMark/>
          </w:tcPr>
          <w:p w14:paraId="275418E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604CE86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90" w:type="dxa"/>
            <w:noWrap/>
            <w:hideMark/>
          </w:tcPr>
          <w:p w14:paraId="017BB87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06" w:type="dxa"/>
            <w:noWrap/>
            <w:hideMark/>
          </w:tcPr>
          <w:p w14:paraId="026178C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17" w:type="dxa"/>
            <w:noWrap/>
            <w:hideMark/>
          </w:tcPr>
          <w:p w14:paraId="7063AE0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OM</w:t>
            </w:r>
          </w:p>
        </w:tc>
        <w:tc>
          <w:tcPr>
            <w:tcW w:w="1150" w:type="dxa"/>
            <w:noWrap/>
            <w:hideMark/>
          </w:tcPr>
          <w:p w14:paraId="3B1752C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901" w:type="dxa"/>
            <w:noWrap/>
            <w:hideMark/>
          </w:tcPr>
          <w:p w14:paraId="08CFC24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2268" w:type="dxa"/>
            <w:noWrap/>
            <w:hideMark/>
          </w:tcPr>
          <w:p w14:paraId="255C44A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Dying tree.</w:t>
            </w:r>
          </w:p>
        </w:tc>
        <w:tc>
          <w:tcPr>
            <w:tcW w:w="1843" w:type="dxa"/>
            <w:noWrap/>
            <w:hideMark/>
          </w:tcPr>
          <w:p w14:paraId="5FC1A87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Fell.</w:t>
            </w:r>
          </w:p>
        </w:tc>
        <w:tc>
          <w:tcPr>
            <w:tcW w:w="714" w:type="dxa"/>
            <w:noWrap/>
            <w:hideMark/>
          </w:tcPr>
          <w:p w14:paraId="2369684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1DD22D5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4C9F2F5B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0A15CE7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3672</w:t>
            </w:r>
          </w:p>
        </w:tc>
        <w:tc>
          <w:tcPr>
            <w:tcW w:w="937" w:type="dxa"/>
            <w:noWrap/>
            <w:hideMark/>
          </w:tcPr>
          <w:p w14:paraId="019FA61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Dead tr</w:t>
            </w:r>
            <w:r w:rsidRPr="0021528E">
              <w:rPr>
                <w:rFonts w:ascii="Arial" w:hAnsi="Arial" w:cs="Arial"/>
                <w:sz w:val="16"/>
                <w:szCs w:val="16"/>
              </w:rPr>
              <w:t>ee</w:t>
            </w:r>
          </w:p>
        </w:tc>
        <w:tc>
          <w:tcPr>
            <w:tcW w:w="679" w:type="dxa"/>
            <w:noWrap/>
            <w:hideMark/>
          </w:tcPr>
          <w:p w14:paraId="64B2C26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90" w:type="dxa"/>
            <w:noWrap/>
            <w:hideMark/>
          </w:tcPr>
          <w:p w14:paraId="38D8B64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6" w:type="dxa"/>
            <w:noWrap/>
            <w:hideMark/>
          </w:tcPr>
          <w:p w14:paraId="6CD64E7C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hideMark/>
          </w:tcPr>
          <w:p w14:paraId="748DD2D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1150" w:type="dxa"/>
            <w:noWrap/>
            <w:hideMark/>
          </w:tcPr>
          <w:p w14:paraId="7FDDB22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Dead</w:t>
            </w:r>
          </w:p>
        </w:tc>
        <w:tc>
          <w:tcPr>
            <w:tcW w:w="901" w:type="dxa"/>
            <w:noWrap/>
            <w:hideMark/>
          </w:tcPr>
          <w:p w14:paraId="770889B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2268" w:type="dxa"/>
            <w:noWrap/>
            <w:hideMark/>
          </w:tcPr>
          <w:p w14:paraId="1D97FB9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Dead tree.</w:t>
            </w:r>
          </w:p>
        </w:tc>
        <w:tc>
          <w:tcPr>
            <w:tcW w:w="1843" w:type="dxa"/>
            <w:noWrap/>
            <w:hideMark/>
          </w:tcPr>
          <w:p w14:paraId="6A9B75B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Fell.</w:t>
            </w:r>
          </w:p>
        </w:tc>
        <w:tc>
          <w:tcPr>
            <w:tcW w:w="714" w:type="dxa"/>
            <w:noWrap/>
            <w:hideMark/>
          </w:tcPr>
          <w:p w14:paraId="68FEFD1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1940238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317A4866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11E89CF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lastRenderedPageBreak/>
              <w:t>3675</w:t>
            </w:r>
          </w:p>
        </w:tc>
        <w:tc>
          <w:tcPr>
            <w:tcW w:w="937" w:type="dxa"/>
            <w:noWrap/>
            <w:hideMark/>
          </w:tcPr>
          <w:p w14:paraId="23D965B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66204F6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90" w:type="dxa"/>
            <w:noWrap/>
            <w:hideMark/>
          </w:tcPr>
          <w:p w14:paraId="00943E6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6" w:type="dxa"/>
            <w:noWrap/>
            <w:hideMark/>
          </w:tcPr>
          <w:p w14:paraId="5229B5A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hideMark/>
          </w:tcPr>
          <w:p w14:paraId="252B8EA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130C9C0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65CB4A1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2268" w:type="dxa"/>
            <w:noWrap/>
            <w:hideMark/>
          </w:tcPr>
          <w:p w14:paraId="42E6CE2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Regrowth from stump.</w:t>
            </w:r>
          </w:p>
        </w:tc>
        <w:tc>
          <w:tcPr>
            <w:tcW w:w="1843" w:type="dxa"/>
            <w:noWrap/>
            <w:hideMark/>
          </w:tcPr>
          <w:p w14:paraId="2B8011B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Fell.</w:t>
            </w:r>
          </w:p>
        </w:tc>
        <w:tc>
          <w:tcPr>
            <w:tcW w:w="714" w:type="dxa"/>
            <w:noWrap/>
            <w:hideMark/>
          </w:tcPr>
          <w:p w14:paraId="6B34D8B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656A137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70EBB819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3B384E6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3676</w:t>
            </w:r>
          </w:p>
        </w:tc>
        <w:tc>
          <w:tcPr>
            <w:tcW w:w="937" w:type="dxa"/>
            <w:noWrap/>
            <w:hideMark/>
          </w:tcPr>
          <w:p w14:paraId="7A251EC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Ash</w:t>
            </w:r>
          </w:p>
        </w:tc>
        <w:tc>
          <w:tcPr>
            <w:tcW w:w="679" w:type="dxa"/>
            <w:noWrap/>
            <w:hideMark/>
          </w:tcPr>
          <w:p w14:paraId="7D1ADC8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90" w:type="dxa"/>
            <w:noWrap/>
            <w:hideMark/>
          </w:tcPr>
          <w:p w14:paraId="0A8B539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6" w:type="dxa"/>
            <w:noWrap/>
            <w:hideMark/>
          </w:tcPr>
          <w:p w14:paraId="1E13211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hideMark/>
          </w:tcPr>
          <w:p w14:paraId="5EE89F7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1D3B19C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Fair</w:t>
            </w:r>
          </w:p>
        </w:tc>
        <w:tc>
          <w:tcPr>
            <w:tcW w:w="901" w:type="dxa"/>
            <w:noWrap/>
            <w:hideMark/>
          </w:tcPr>
          <w:p w14:paraId="7F580CC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6FEF1E4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Significant dead wood</w:t>
            </w:r>
            <w:r w:rsidRPr="0021528E">
              <w:rPr>
                <w:rFonts w:ascii="Arial" w:hAnsi="Arial" w:cs="Arial"/>
                <w:sz w:val="16"/>
                <w:szCs w:val="16"/>
              </w:rPr>
              <w:t xml:space="preserve"> throughout canopy.</w:t>
            </w:r>
          </w:p>
        </w:tc>
        <w:tc>
          <w:tcPr>
            <w:tcW w:w="1843" w:type="dxa"/>
            <w:noWrap/>
            <w:hideMark/>
          </w:tcPr>
          <w:p w14:paraId="436AABD1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Remove significant dead wood.</w:t>
            </w:r>
          </w:p>
          <w:p w14:paraId="6E4E592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4EBEFA0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0F8B5FE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 xml:space="preserve">12 </w:t>
            </w:r>
          </w:p>
        </w:tc>
      </w:tr>
      <w:tr w:rsidR="0010160E" w:rsidRPr="0021528E" w14:paraId="50D97263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1E028F58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3679</w:t>
            </w:r>
          </w:p>
        </w:tc>
        <w:tc>
          <w:tcPr>
            <w:tcW w:w="937" w:type="dxa"/>
            <w:noWrap/>
            <w:hideMark/>
          </w:tcPr>
          <w:p w14:paraId="6341EAF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Sycamore</w:t>
            </w:r>
          </w:p>
        </w:tc>
        <w:tc>
          <w:tcPr>
            <w:tcW w:w="679" w:type="dxa"/>
            <w:noWrap/>
            <w:hideMark/>
          </w:tcPr>
          <w:p w14:paraId="72E041A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90" w:type="dxa"/>
            <w:noWrap/>
            <w:hideMark/>
          </w:tcPr>
          <w:p w14:paraId="20436C6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06" w:type="dxa"/>
            <w:noWrap/>
            <w:hideMark/>
          </w:tcPr>
          <w:p w14:paraId="55A35375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hideMark/>
          </w:tcPr>
          <w:p w14:paraId="75C5A2B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3A013ACD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5C3993F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27EEBEE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Extended limb over road.</w:t>
            </w:r>
          </w:p>
        </w:tc>
        <w:tc>
          <w:tcPr>
            <w:tcW w:w="1843" w:type="dxa"/>
            <w:noWrap/>
            <w:hideMark/>
          </w:tcPr>
          <w:p w14:paraId="0D1F7386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Reduce extended limb by 3m.</w:t>
            </w:r>
          </w:p>
          <w:p w14:paraId="0A9FA4F7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29883D92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45" w:type="dxa"/>
            <w:noWrap/>
            <w:hideMark/>
          </w:tcPr>
          <w:p w14:paraId="6AAED97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10160E" w:rsidRPr="0021528E" w14:paraId="27C4E43E" w14:textId="77777777" w:rsidTr="00123948">
        <w:trPr>
          <w:trHeight w:val="300"/>
        </w:trPr>
        <w:tc>
          <w:tcPr>
            <w:tcW w:w="572" w:type="dxa"/>
            <w:noWrap/>
            <w:hideMark/>
          </w:tcPr>
          <w:p w14:paraId="410616BB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3680</w:t>
            </w:r>
          </w:p>
        </w:tc>
        <w:tc>
          <w:tcPr>
            <w:tcW w:w="937" w:type="dxa"/>
            <w:noWrap/>
            <w:hideMark/>
          </w:tcPr>
          <w:p w14:paraId="21A2EAD0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Common Lime</w:t>
            </w:r>
          </w:p>
        </w:tc>
        <w:tc>
          <w:tcPr>
            <w:tcW w:w="679" w:type="dxa"/>
            <w:noWrap/>
            <w:hideMark/>
          </w:tcPr>
          <w:p w14:paraId="0216F01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90" w:type="dxa"/>
            <w:noWrap/>
            <w:hideMark/>
          </w:tcPr>
          <w:p w14:paraId="4505D44F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706" w:type="dxa"/>
            <w:noWrap/>
            <w:hideMark/>
          </w:tcPr>
          <w:p w14:paraId="0BAEC3C1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hideMark/>
          </w:tcPr>
          <w:p w14:paraId="4A98808E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1150" w:type="dxa"/>
            <w:noWrap/>
            <w:hideMark/>
          </w:tcPr>
          <w:p w14:paraId="57889F53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901" w:type="dxa"/>
            <w:noWrap/>
            <w:hideMark/>
          </w:tcPr>
          <w:p w14:paraId="2F5527E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2268" w:type="dxa"/>
            <w:noWrap/>
            <w:hideMark/>
          </w:tcPr>
          <w:p w14:paraId="70E82F84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28E">
              <w:rPr>
                <w:rFonts w:ascii="Arial" w:hAnsi="Arial" w:cs="Arial"/>
                <w:sz w:val="16"/>
                <w:szCs w:val="16"/>
              </w:rPr>
              <w:t>Dead wood over footpath.</w:t>
            </w:r>
          </w:p>
        </w:tc>
        <w:tc>
          <w:tcPr>
            <w:tcW w:w="1843" w:type="dxa"/>
            <w:noWrap/>
            <w:hideMark/>
          </w:tcPr>
          <w:p w14:paraId="1673C50E" w14:textId="77777777" w:rsidR="0010160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Reduce canopy by 5m to reduce risk of failure.</w:t>
            </w:r>
            <w:r w:rsidRPr="0021528E">
              <w:rPr>
                <w:rFonts w:ascii="Arial" w:hAnsi="Arial" w:cs="Arial"/>
                <w:sz w:val="16"/>
                <w:szCs w:val="16"/>
              </w:rPr>
              <w:t xml:space="preserve"> Remove significant dead wood.</w:t>
            </w:r>
          </w:p>
          <w:p w14:paraId="725B655A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noWrap/>
            <w:hideMark/>
          </w:tcPr>
          <w:p w14:paraId="374C2189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545" w:type="dxa"/>
            <w:noWrap/>
            <w:hideMark/>
          </w:tcPr>
          <w:p w14:paraId="7EAF57B6" w14:textId="77777777" w:rsidR="0010160E" w:rsidRPr="0021528E" w:rsidRDefault="0010160E" w:rsidP="00123948">
            <w:pPr>
              <w:tabs>
                <w:tab w:val="left" w:pos="679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</w:tbl>
    <w:p w14:paraId="75D81679" w14:textId="77777777" w:rsidR="0010160E" w:rsidRDefault="0010160E"/>
    <w:sectPr w:rsidR="00101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C83"/>
    <w:rsid w:val="0010160E"/>
    <w:rsid w:val="004C0A2F"/>
    <w:rsid w:val="00641A4F"/>
    <w:rsid w:val="00C4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0C431"/>
  <w15:chartTrackingRefBased/>
  <w15:docId w15:val="{26E516AC-753C-41A3-A434-83E51A1E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2022-11-11T11:45:00Z</dcterms:created>
  <dcterms:modified xsi:type="dcterms:W3CDTF">2022-11-11T23:04:00Z</dcterms:modified>
</cp:coreProperties>
</file>