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C6B60" w14:textId="77777777" w:rsidR="00E7567E" w:rsidRDefault="00E7567E" w:rsidP="00E7567E">
      <w:pPr>
        <w:rPr>
          <w:lang w:eastAsia="en-US"/>
        </w:rPr>
      </w:pPr>
      <w:r>
        <w:rPr>
          <w:lang w:eastAsia="en-US"/>
        </w:rPr>
        <w:t>Dear Josh,</w:t>
      </w:r>
    </w:p>
    <w:p w14:paraId="4AD01113" w14:textId="77777777" w:rsidR="00E7567E" w:rsidRDefault="00E7567E" w:rsidP="00E7567E">
      <w:pPr>
        <w:rPr>
          <w:color w:val="002060"/>
        </w:rPr>
      </w:pPr>
    </w:p>
    <w:p w14:paraId="2B2BDF85" w14:textId="77777777" w:rsidR="00E7567E" w:rsidRDefault="00E7567E" w:rsidP="00E7567E">
      <w:pPr>
        <w:rPr>
          <w:color w:val="002060"/>
        </w:rPr>
      </w:pPr>
      <w:r>
        <w:rPr>
          <w:color w:val="002060"/>
        </w:rPr>
        <w:t xml:space="preserve">Thank you for consulting us on the above planning application reference number HGY/2023/0850 relating to the construction of a Basement Extension to existing semi-detached property, to implement a new gym, swimming pool, sauna room, plant room and bathroom at </w:t>
      </w:r>
      <w:r>
        <w:t xml:space="preserve">139 Cranley Gardens, Hornsey, London, N10 </w:t>
      </w:r>
      <w:proofErr w:type="gramStart"/>
      <w:r>
        <w:t>3AG</w:t>
      </w:r>
      <w:proofErr w:type="gramEnd"/>
    </w:p>
    <w:p w14:paraId="4D2AAE15" w14:textId="77777777" w:rsidR="00E7567E" w:rsidRDefault="00E7567E" w:rsidP="00E7567E">
      <w:pPr>
        <w:rPr>
          <w:color w:val="002060"/>
        </w:rPr>
      </w:pPr>
    </w:p>
    <w:p w14:paraId="79654161" w14:textId="77777777" w:rsidR="00E7567E" w:rsidRDefault="00E7567E" w:rsidP="00E7567E">
      <w:pPr>
        <w:rPr>
          <w:color w:val="002060"/>
        </w:rPr>
      </w:pPr>
      <w:r>
        <w:rPr>
          <w:color w:val="002060"/>
        </w:rPr>
        <w:t xml:space="preserve">We note that the planning application is supported by an FRA and </w:t>
      </w:r>
      <w:proofErr w:type="spellStart"/>
      <w:r>
        <w:rPr>
          <w:color w:val="002060"/>
        </w:rPr>
        <w:t>SuDs</w:t>
      </w:r>
      <w:proofErr w:type="spellEnd"/>
      <w:r>
        <w:rPr>
          <w:color w:val="002060"/>
        </w:rPr>
        <w:t xml:space="preserve"> report (Doc. Ref. 21066-SYM-XX-XX-RP-C-0001 FRA and SUDS Report, dated 02/03/23) and a Basement Impact Assessment (Doc. Ref.  21066-SYM-XX-XX-RP-S-0001-Rev D, dated 02/05/23) </w:t>
      </w:r>
    </w:p>
    <w:p w14:paraId="3C8A19B4" w14:textId="77777777" w:rsidR="00E7567E" w:rsidRDefault="00E7567E" w:rsidP="00E7567E">
      <w:pPr>
        <w:rPr>
          <w:color w:val="002060"/>
        </w:rPr>
      </w:pPr>
    </w:p>
    <w:p w14:paraId="1908E4C9" w14:textId="77777777" w:rsidR="00E7567E" w:rsidRDefault="00E7567E" w:rsidP="00E7567E">
      <w:r>
        <w:t xml:space="preserve">In terms of flood risk, the submitted FRA and BIA appropriately assess the risk of flooding from all sources using publicly available information to inform the desk studies.   As noted within the FRA, the site is located within a critical drainage area (CD_055).  The site is located within an area of low flood risk from fluvial sources of flood </w:t>
      </w:r>
      <w:proofErr w:type="gramStart"/>
      <w:r>
        <w:t>risk, and</w:t>
      </w:r>
      <w:proofErr w:type="gramEnd"/>
      <w:r>
        <w:t xml:space="preserve"> is considered to be within an area of Medium Risk for both surface water and sewer flooding.   Based on results of the desk study and SI information, the ground conditions within the environs of the site consist of London Clays bedrock with overlain by Made Ground, which may contain perched groundwater.  However, based on available information it is considered that the risk of groundwater flooding within the environs of the site is low to very low, as concluded within the FRA and BIA, subject to the measures and controls set out within the assessments.    </w:t>
      </w:r>
    </w:p>
    <w:p w14:paraId="053DB70F" w14:textId="77777777" w:rsidR="00E7567E" w:rsidRDefault="00E7567E" w:rsidP="00E7567E"/>
    <w:p w14:paraId="2BA46B3B" w14:textId="77777777" w:rsidR="00E7567E" w:rsidRDefault="00E7567E" w:rsidP="00E7567E">
      <w:r>
        <w:t xml:space="preserve">The details provided in relation to surface water management and the use of </w:t>
      </w:r>
      <w:proofErr w:type="spellStart"/>
      <w:r>
        <w:t>SuDS</w:t>
      </w:r>
      <w:proofErr w:type="spellEnd"/>
      <w:r>
        <w:t xml:space="preserve"> within the scheme indicate that flows will be restricted to </w:t>
      </w:r>
      <w:proofErr w:type="gramStart"/>
      <w:r>
        <w:t>below  use</w:t>
      </w:r>
      <w:proofErr w:type="gramEnd"/>
      <w:r>
        <w:t xml:space="preserve"> of below ground attenuation with a restricted outflow rate into the public sewer system, replicating the current discharge destination of run off from the site.  Discharge rates are restricted to 4.5l/s for events up to and including the 1 in 100 </w:t>
      </w:r>
      <w:proofErr w:type="spellStart"/>
      <w:r>
        <w:t>yr</w:t>
      </w:r>
      <w:proofErr w:type="spellEnd"/>
      <w:r>
        <w:t xml:space="preserve"> plus climate change event.   The proposed restricted discharge rate represents a reduction of 48% compared to brownfield rates for the 1 in 100yr event and 30% for the 1 in 30 </w:t>
      </w:r>
      <w:proofErr w:type="spellStart"/>
      <w:r>
        <w:t>yr</w:t>
      </w:r>
      <w:proofErr w:type="spellEnd"/>
      <w:r>
        <w:t xml:space="preserve"> storm event (Table listed as Figure 33 within the FRA and </w:t>
      </w:r>
      <w:proofErr w:type="spellStart"/>
      <w:r>
        <w:t>SuDS</w:t>
      </w:r>
      <w:proofErr w:type="spellEnd"/>
      <w:r>
        <w:t xml:space="preserve"> report).   This is contrary to the statement within para 10.81 of the report, which states that “An outline drainage strategy has been developed. It is proposed runoff rates are reduced by 50% for all rainfall events up to the 1 in 100 +40% climate changes storm” as required under both the London Plan for previously developed sites and Haringey’s Development Management Policies.</w:t>
      </w:r>
    </w:p>
    <w:p w14:paraId="5DB2736C" w14:textId="77777777" w:rsidR="00E7567E" w:rsidRDefault="00E7567E" w:rsidP="00E7567E"/>
    <w:p w14:paraId="2202F0E5" w14:textId="77777777" w:rsidR="00E7567E" w:rsidRDefault="00E7567E" w:rsidP="00E7567E">
      <w:r>
        <w:t>As an outline strategy, it is noted that no consultation with the statutory sewerage undertaker has been undertaken to confirm agreement to the proposed rate of discharge into the public sewer system.      </w:t>
      </w:r>
    </w:p>
    <w:p w14:paraId="65E041ED" w14:textId="77777777" w:rsidR="00E7567E" w:rsidRDefault="00E7567E" w:rsidP="00E7567E"/>
    <w:p w14:paraId="674E1EE6" w14:textId="77777777" w:rsidR="00E7567E" w:rsidRDefault="00E7567E" w:rsidP="00E7567E">
      <w:r>
        <w:t>Given the above, efforts to further reduce discharge rates in line with the London Plan and Haringey’s DM policies should be undertaken and evidence of TW’s acceptance of the proposed discharge rates should be provided.   </w:t>
      </w:r>
    </w:p>
    <w:p w14:paraId="3B045CC9" w14:textId="77777777" w:rsidR="00E7567E" w:rsidRDefault="00E7567E" w:rsidP="00E7567E"/>
    <w:p w14:paraId="31684ED5" w14:textId="77777777" w:rsidR="00E7567E" w:rsidRDefault="00E7567E" w:rsidP="00E7567E">
      <w:r>
        <w:t xml:space="preserve">The current outline strategy presented is reliant on the use of modular below ground tanks for hydraulic control, although which provide no water quality, </w:t>
      </w:r>
      <w:proofErr w:type="gramStart"/>
      <w:r>
        <w:t>amenity</w:t>
      </w:r>
      <w:proofErr w:type="gramEnd"/>
      <w:r>
        <w:t xml:space="preserve"> or biodiversity value.   Consideration to the use of lined permeable paving, </w:t>
      </w:r>
      <w:proofErr w:type="spellStart"/>
      <w:r>
        <w:t>SuDS</w:t>
      </w:r>
      <w:proofErr w:type="spellEnd"/>
      <w:r>
        <w:t xml:space="preserve"> planters/rain garden (lined) in tandem with the modular below ground attenuation tank should be given to provide a more holistic </w:t>
      </w:r>
      <w:proofErr w:type="spellStart"/>
      <w:r>
        <w:t>SuDS</w:t>
      </w:r>
      <w:proofErr w:type="spellEnd"/>
      <w:r>
        <w:t xml:space="preserve"> management train that achieves improvements in both run off control (50% for both 100yr and 30yr events), water quality, </w:t>
      </w:r>
      <w:proofErr w:type="gramStart"/>
      <w:r>
        <w:t>biodiversity</w:t>
      </w:r>
      <w:proofErr w:type="gramEnd"/>
      <w:r>
        <w:t xml:space="preserve"> and amenity value.  </w:t>
      </w:r>
    </w:p>
    <w:p w14:paraId="09A5039F" w14:textId="77777777" w:rsidR="00E7567E" w:rsidRDefault="00E7567E" w:rsidP="00E7567E"/>
    <w:p w14:paraId="1A888DC1" w14:textId="77777777" w:rsidR="00E7567E" w:rsidRDefault="00E7567E" w:rsidP="00E7567E">
      <w:pPr>
        <w:rPr>
          <w:color w:val="000000"/>
          <w:lang w:eastAsia="en-US"/>
        </w:rPr>
      </w:pPr>
      <w:r>
        <w:rPr>
          <w:color w:val="000000"/>
          <w:lang w:eastAsia="en-US"/>
        </w:rPr>
        <w:t xml:space="preserve">Given the issues raised above, the use of a condition is not considered appropriate in this instance given the scheme is a full planning application and that at present only outline details are provided, </w:t>
      </w:r>
      <w:r>
        <w:rPr>
          <w:color w:val="000000"/>
          <w:lang w:eastAsia="en-US"/>
        </w:rPr>
        <w:lastRenderedPageBreak/>
        <w:t xml:space="preserve">which do not demonstrate that appropriate </w:t>
      </w:r>
      <w:proofErr w:type="spellStart"/>
      <w:r>
        <w:rPr>
          <w:color w:val="000000"/>
          <w:lang w:eastAsia="en-US"/>
        </w:rPr>
        <w:t>SuDS</w:t>
      </w:r>
      <w:proofErr w:type="spellEnd"/>
      <w:r>
        <w:rPr>
          <w:color w:val="000000"/>
          <w:lang w:eastAsia="en-US"/>
        </w:rPr>
        <w:t xml:space="preserve"> management train has been employed and that the performance of the system has been assessed using appropriate restricted discharge rates in accordance with Haringey’s DM policies and the London Plan (50% reduction in peak flows).    The proposed </w:t>
      </w:r>
      <w:proofErr w:type="spellStart"/>
      <w:r>
        <w:rPr>
          <w:color w:val="000000"/>
          <w:lang w:eastAsia="en-US"/>
        </w:rPr>
        <w:t>SuDS</w:t>
      </w:r>
      <w:proofErr w:type="spellEnd"/>
      <w:r>
        <w:rPr>
          <w:color w:val="000000"/>
          <w:lang w:eastAsia="en-US"/>
        </w:rPr>
        <w:t xml:space="preserve"> scheme and updated analysis/calculations should be provided within a revised report that demonstrates how the proposed </w:t>
      </w:r>
      <w:proofErr w:type="spellStart"/>
      <w:r>
        <w:rPr>
          <w:color w:val="000000"/>
          <w:lang w:eastAsia="en-US"/>
        </w:rPr>
        <w:t>SuDS</w:t>
      </w:r>
      <w:proofErr w:type="spellEnd"/>
      <w:r>
        <w:rPr>
          <w:color w:val="000000"/>
          <w:lang w:eastAsia="en-US"/>
        </w:rPr>
        <w:t xml:space="preserve"> scheme provides flood water control, water quality enhancement, </w:t>
      </w:r>
      <w:proofErr w:type="gramStart"/>
      <w:r>
        <w:rPr>
          <w:color w:val="000000"/>
          <w:lang w:eastAsia="en-US"/>
        </w:rPr>
        <w:t>biodiversity</w:t>
      </w:r>
      <w:proofErr w:type="gramEnd"/>
      <w:r>
        <w:rPr>
          <w:color w:val="000000"/>
          <w:lang w:eastAsia="en-US"/>
        </w:rPr>
        <w:t xml:space="preserve"> and amenity value.   </w:t>
      </w:r>
    </w:p>
    <w:p w14:paraId="03B2F84A" w14:textId="77777777" w:rsidR="00E7567E" w:rsidRDefault="00E7567E" w:rsidP="00E7567E">
      <w:pPr>
        <w:rPr>
          <w:color w:val="000000"/>
          <w:lang w:eastAsia="en-US"/>
        </w:rPr>
      </w:pPr>
    </w:p>
    <w:p w14:paraId="03EBD3D4" w14:textId="77777777" w:rsidR="00E7567E" w:rsidRDefault="00E7567E" w:rsidP="00E7567E">
      <w:pPr>
        <w:rPr>
          <w:color w:val="000000"/>
          <w:lang w:eastAsia="en-US"/>
        </w:rPr>
      </w:pPr>
      <w:r>
        <w:rPr>
          <w:color w:val="000000"/>
          <w:lang w:eastAsia="en-US"/>
        </w:rPr>
        <w:t>The above does comments do not include any reference to the BIA in terms of structural stability of neighbouring properties as reported within section 8 of the BIA report, which is understood to be subject to independent review and verification.       </w:t>
      </w:r>
    </w:p>
    <w:p w14:paraId="092A0E30" w14:textId="77777777" w:rsidR="00E7567E" w:rsidRDefault="00E7567E" w:rsidP="00E7567E">
      <w:pPr>
        <w:rPr>
          <w:color w:val="000000"/>
          <w:lang w:eastAsia="en-US"/>
        </w:rPr>
      </w:pPr>
    </w:p>
    <w:p w14:paraId="2D6EF452" w14:textId="77777777" w:rsidR="00E7567E" w:rsidRDefault="00E7567E" w:rsidP="00E7567E">
      <w:pPr>
        <w:rPr>
          <w:color w:val="000000"/>
          <w:lang w:eastAsia="en-US"/>
        </w:rPr>
      </w:pPr>
      <w:r>
        <w:rPr>
          <w:color w:val="000000"/>
          <w:lang w:eastAsia="en-US"/>
        </w:rPr>
        <w:t xml:space="preserve">Hope the above is of assistance.  However, should you have any concerns or require any further clarification then please do not hesitate to contact me. </w:t>
      </w:r>
    </w:p>
    <w:p w14:paraId="149FC010" w14:textId="77777777" w:rsidR="00E7567E" w:rsidRDefault="00E7567E" w:rsidP="00E7567E">
      <w:r>
        <w:t>         </w:t>
      </w:r>
    </w:p>
    <w:p w14:paraId="4F97EA39" w14:textId="77777777" w:rsidR="00E7567E" w:rsidRDefault="00E7567E" w:rsidP="00E7567E"/>
    <w:p w14:paraId="12016055" w14:textId="77777777" w:rsidR="00E7567E" w:rsidRDefault="00E7567E" w:rsidP="00E7567E">
      <w:r>
        <w:t xml:space="preserve">Best regards </w:t>
      </w:r>
    </w:p>
    <w:p w14:paraId="59D94544" w14:textId="77777777" w:rsidR="00E7567E" w:rsidRDefault="00E7567E" w:rsidP="00E7567E"/>
    <w:p w14:paraId="7F4317DE" w14:textId="77777777" w:rsidR="00E7567E" w:rsidRDefault="00E7567E" w:rsidP="00E7567E">
      <w:r>
        <w:t>Jason</w:t>
      </w:r>
    </w:p>
    <w:p w14:paraId="4BF79B81" w14:textId="77777777" w:rsidR="00E7567E" w:rsidRDefault="00E7567E" w:rsidP="00E7567E"/>
    <w:p w14:paraId="75158771" w14:textId="77777777" w:rsidR="00E7567E" w:rsidRDefault="00E7567E" w:rsidP="00E7567E">
      <w:pPr>
        <w:rPr>
          <w:b/>
          <w:bCs/>
          <w:color w:val="A6A6A6"/>
          <w:sz w:val="18"/>
          <w:szCs w:val="18"/>
        </w:rPr>
      </w:pPr>
      <w:r>
        <w:rPr>
          <w:b/>
          <w:bCs/>
          <w:lang w:eastAsia="en-US"/>
        </w:rPr>
        <w:t xml:space="preserve">Jason </w:t>
      </w:r>
      <w:proofErr w:type="gramStart"/>
      <w:r>
        <w:rPr>
          <w:b/>
          <w:bCs/>
          <w:lang w:eastAsia="en-US"/>
        </w:rPr>
        <w:t>Small</w:t>
      </w:r>
      <w:r>
        <w:rPr>
          <w:b/>
          <w:bCs/>
          <w:color w:val="0D0D0D"/>
        </w:rPr>
        <w:t xml:space="preserve">  </w:t>
      </w:r>
      <w:proofErr w:type="spellStart"/>
      <w:r>
        <w:rPr>
          <w:b/>
          <w:bCs/>
          <w:color w:val="A6A6A6"/>
          <w:sz w:val="18"/>
          <w:szCs w:val="18"/>
        </w:rPr>
        <w:t>B</w:t>
      </w:r>
      <w:proofErr w:type="gramEnd"/>
      <w:r>
        <w:rPr>
          <w:b/>
          <w:bCs/>
          <w:color w:val="A6A6A6"/>
          <w:sz w:val="18"/>
          <w:szCs w:val="18"/>
        </w:rPr>
        <w:t>.Eng</w:t>
      </w:r>
      <w:proofErr w:type="spellEnd"/>
      <w:r>
        <w:rPr>
          <w:b/>
          <w:bCs/>
          <w:color w:val="A6A6A6"/>
          <w:sz w:val="18"/>
          <w:szCs w:val="18"/>
        </w:rPr>
        <w:t>, DIC, MSc. MCIWEM</w:t>
      </w:r>
    </w:p>
    <w:p w14:paraId="55F9E340" w14:textId="77777777" w:rsidR="00E7567E" w:rsidRDefault="00E7567E" w:rsidP="00E7567E">
      <w:pPr>
        <w:rPr>
          <w:b/>
          <w:bCs/>
          <w:color w:val="0D0D0D"/>
        </w:rPr>
      </w:pPr>
      <w:r>
        <w:rPr>
          <w:b/>
          <w:bCs/>
          <w:color w:val="0D0D0D"/>
        </w:rPr>
        <w:t xml:space="preserve">Principal Engineer - Flood &amp; Water Management </w:t>
      </w:r>
    </w:p>
    <w:p w14:paraId="78A33E53" w14:textId="77777777" w:rsidR="009B799A" w:rsidRDefault="009B799A"/>
    <w:sectPr w:rsidR="009B79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67E"/>
    <w:rsid w:val="009B799A"/>
    <w:rsid w:val="00E75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F671D"/>
  <w15:chartTrackingRefBased/>
  <w15:docId w15:val="{D59EA89B-2ACD-4D94-A0FC-18CC5AE8C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67E"/>
    <w:pPr>
      <w:spacing w:after="0" w:line="240" w:lineRule="auto"/>
    </w:pPr>
    <w:rPr>
      <w:rFonts w:ascii="Calibri" w:hAnsi="Calibri" w:cs="Calibri"/>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924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706</Words>
  <Characters>4026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Parker</dc:creator>
  <cp:keywords/>
  <dc:description/>
  <cp:lastModifiedBy>Josh Parker</cp:lastModifiedBy>
  <cp:revision>1</cp:revision>
  <dcterms:created xsi:type="dcterms:W3CDTF">2023-06-09T08:34:00Z</dcterms:created>
  <dcterms:modified xsi:type="dcterms:W3CDTF">2023-06-09T08:53:00Z</dcterms:modified>
</cp:coreProperties>
</file>