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rPr>
        <w:t xml:space="preserve">Supporting Data Annex</w:t>
      </w:r>
    </w:p>
    <w:p>
      <w:pPr>
        <w:spacing w:after="40"/>
      </w:pPr>
      <w:r>
        <w:rPr>
          <w:b/>
          <w:bCs/>
        </w:rPr>
        <w:t xml:space="preserve">11 Berkeley Road, N8 8RU — Objection to HGY/2026/1046</w:t>
      </w:r>
    </w:p>
    <w:p>
      <w:pPr>
        <w:spacing w:after="200"/>
      </w:pPr>
      <w:r>
        <w:rPr>
          <w:i/>
          <w:iCs/>
        </w:rPr>
        <w:t xml:space="preserve">Referenced from the main objection letter. This annex sets out the full datasets underlying the summary figures quoted in that letter.</w:t>
      </w:r>
    </w:p>
    <w:p>
      <w:pPr>
        <w:spacing w:after="400"/>
      </w:pPr>
      <w:r>
        <w:rPr>
          <w:i/>
          <w:iCs/>
        </w:rPr>
        <w:t xml:space="preserve">Note: figures for bedroom 3/study were withdrawn following a data quality check that identified an unresolved discrepancy in that room's obstruction modelling. Bedroom 2's figures throughout this annex are unaffected, and were independently cross-checked against dated photographic evidence. The ante room's single-point figures (quoted in the main letter's own table) are similarly unaffected. However, the ante room's grid-based figures - previously included in Tables 1 and 2 below - relied on the same obstruction that caused the bedroom 3 issue, and have also been withdrawn pending the same verification. Only bedroom 2's grid and azimuth data are presented below as a result.</w:t>
      </w:r>
    </w:p>
    <w:p>
      <w:pPr>
        <w:pStyle w:val="Heading1"/>
        <w:spacing w:after="200" w:before="400"/>
      </w:pPr>
      <w:r>
        <w:t xml:space="preserve">A. Full-window average sunlight comparison (the "grid" method)</w:t>
      </w:r>
    </w:p>
    <w:p>
      <w:pPr>
        <w:spacing w:after="200"/>
      </w:pPr>
      <w:r>
        <w:t xml:space="preserve">Each figure below is an average across a 25-point grid spanning the full glazed area of the relevant window, rather than a single centre point. This gives a fuller picture of what the room as a whole experiences, and is referenced in the main letter as the cross-check against the single-point table presented there.</w:t>
      </w:r>
    </w:p>
    <w:p>
      <w:pPr>
        <w:spacing w:after="100" w:before="120"/>
      </w:pPr>
      <w:r>
        <w:rPr>
          <w:b/>
          <w:bCs/>
        </w:rPr>
        <w:t xml:space="preserve">Table 1: Full-Window Average Sunlight Comparison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2200"/>
        <w:gridCol w:w="1500"/>
        <w:gridCol w:w="1500"/>
        <w:gridCol w:w="1500"/>
      </w:tblGrid>
      <w:tr>
        <w:tc>
          <w:tcPr>
            <w:tcW w:type="dxa" w:w="1900"/>
            <w:shd w:fill="EEEEEE" w:val="clear"/>
          </w:tcPr>
          <w:p>
            <w:pPr>
              <w:jc w:val="center"/>
            </w:pPr>
            <w:r>
              <w:rPr>
                <w:b/>
                <w:bCs/>
              </w:rPr>
              <w:t xml:space="preserve">Room</w:t>
            </w:r>
          </w:p>
        </w:tc>
        <w:tc>
          <w:tcPr>
            <w:tcW w:type="dxa" w:w="2200"/>
            <w:shd w:fill="EEEEEE" w:val="clear"/>
          </w:tcPr>
          <w:p>
            <w:pPr>
              <w:jc w:val="center"/>
            </w:pPr>
            <w:r>
              <w:rPr>
                <w:b/>
                <w:bCs/>
              </w:rPr>
              <w:t xml:space="preserve">Scenario</w:t>
            </w:r>
          </w:p>
        </w:tc>
        <w:tc>
          <w:tcPr>
            <w:tcW w:type="dxa" w:w="1500"/>
            <w:shd w:fill="EEEEEE" w:val="clear"/>
          </w:tcPr>
          <w:p>
            <w:pPr>
              <w:jc w:val="center"/>
            </w:pPr>
            <w:r>
              <w:rPr>
                <w:b/>
                <w:bCs/>
              </w:rPr>
              <w:t xml:space="preserve">Winter total*</w:t>
            </w:r>
          </w:p>
        </w:tc>
        <w:tc>
          <w:tcPr>
            <w:tcW w:type="dxa" w:w="1500"/>
            <w:shd w:fill="EEEEEE" w:val="clear"/>
          </w:tcPr>
          <w:p>
            <w:pPr>
              <w:jc w:val="center"/>
            </w:pPr>
            <w:r>
              <w:rPr>
                <w:b/>
                <w:bCs/>
              </w:rPr>
              <w:t xml:space="preserve">21 March</w:t>
            </w:r>
          </w:p>
        </w:tc>
        <w:tc>
          <w:tcPr>
            <w:tcW w:type="dxa" w:w="1500"/>
            <w:shd w:fill="EEEEEE" w:val="clear"/>
          </w:tcPr>
          <w:p>
            <w:pPr>
              <w:jc w:val="center"/>
            </w:pPr>
            <w:r>
              <w:rPr>
                <w:b/>
                <w:bCs/>
              </w:rPr>
              <w:t xml:space="preserve">21 June</w:t>
            </w:r>
          </w:p>
        </w:tc>
      </w:tr>
      <w:tr>
        <w:tc>
          <w:tcPr>
            <w:tcW w:type="dxa" w:w="1900"/>
          </w:tcPr>
          <w:p>
            <w:r>
              <w:t xml:space="preserve">Bedroom 2</w:t>
            </w:r>
          </w:p>
        </w:tc>
        <w:tc>
          <w:tcPr>
            <w:tcW w:type="dxa" w:w="2200"/>
          </w:tcPr>
          <w:p>
            <w:pPr>
              <w:jc w:val="center"/>
            </w:pPr>
            <w:r>
              <w:t xml:space="preserve">Existing</w:t>
            </w:r>
          </w:p>
        </w:tc>
        <w:tc>
          <w:tcPr>
            <w:tcW w:type="dxa" w:w="1500"/>
          </w:tcPr>
          <w:p>
            <w:pPr>
              <w:jc w:val="center"/>
            </w:pPr>
            <w:r>
              <w:t xml:space="preserve">17.55h</w:t>
            </w:r>
          </w:p>
        </w:tc>
        <w:tc>
          <w:tcPr>
            <w:tcW w:type="dxa" w:w="1500"/>
          </w:tcPr>
          <w:p>
            <w:pPr>
              <w:jc w:val="center"/>
            </w:pPr>
            <w:r>
              <w:t xml:space="preserve">1.49h</w:t>
            </w:r>
          </w:p>
        </w:tc>
        <w:tc>
          <w:tcPr>
            <w:tcW w:type="dxa" w:w="1500"/>
          </w:tcPr>
          <w:p>
            <w:pPr>
              <w:jc w:val="center"/>
            </w:pPr>
            <w:r>
              <w:t xml:space="preserve">4.85h</w:t>
            </w:r>
          </w:p>
        </w:tc>
      </w:tr>
      <w:tr>
        <w:tc>
          <w:tcPr>
            <w:tcW w:type="dxa" w:w="1900"/>
          </w:tcPr>
          <w:p>
            <w:r>
              <w:t xml:space="preserve">Bedroom 2</w:t>
            </w:r>
          </w:p>
        </w:tc>
        <w:tc>
          <w:tcPr>
            <w:tcW w:type="dxa" w:w="2200"/>
          </w:tcPr>
          <w:p>
            <w:pPr>
              <w:jc w:val="center"/>
            </w:pPr>
            <w:r>
              <w:t xml:space="preserve">Proposed (flat)</w:t>
            </w:r>
          </w:p>
        </w:tc>
        <w:tc>
          <w:tcPr>
            <w:tcW w:type="dxa" w:w="1500"/>
          </w:tcPr>
          <w:p>
            <w:pPr>
              <w:jc w:val="center"/>
            </w:pPr>
            <w:r>
              <w:t xml:space="preserve">15.05h</w:t>
            </w:r>
          </w:p>
        </w:tc>
        <w:tc>
          <w:tcPr>
            <w:tcW w:type="dxa" w:w="1500"/>
          </w:tcPr>
          <w:p>
            <w:pPr>
              <w:jc w:val="center"/>
            </w:pPr>
            <w:r>
              <w:t xml:space="preserve">1.35h</w:t>
            </w:r>
          </w:p>
        </w:tc>
        <w:tc>
          <w:tcPr>
            <w:tcW w:type="dxa" w:w="1500"/>
          </w:tcPr>
          <w:p>
            <w:pPr>
              <w:jc w:val="center"/>
            </w:pPr>
            <w:r>
              <w:t xml:space="preserve">5.19h</w:t>
            </w:r>
          </w:p>
        </w:tc>
      </w:tr>
      <w:tr>
        <w:tc>
          <w:tcPr>
            <w:tcW w:type="dxa" w:w="1900"/>
          </w:tcPr>
          <w:p>
            <w:r>
              <w:t xml:space="preserve">Bedroom 2</w:t>
            </w:r>
          </w:p>
        </w:tc>
        <w:tc>
          <w:tcPr>
            <w:tcW w:type="dxa" w:w="2200"/>
          </w:tcPr>
          <w:p>
            <w:pPr>
              <w:jc w:val="center"/>
            </w:pPr>
            <w:r>
              <w:t xml:space="preserve">Sloped mitigation</w:t>
            </w:r>
          </w:p>
        </w:tc>
        <w:tc>
          <w:tcPr>
            <w:tcW w:type="dxa" w:w="1500"/>
          </w:tcPr>
          <w:p>
            <w:pPr>
              <w:jc w:val="center"/>
            </w:pPr>
            <w:r>
              <w:t xml:space="preserve">19.62h</w:t>
            </w:r>
          </w:p>
        </w:tc>
        <w:tc>
          <w:tcPr>
            <w:tcW w:type="dxa" w:w="1500"/>
          </w:tcPr>
          <w:p>
            <w:pPr>
              <w:jc w:val="center"/>
            </w:pPr>
            <w:r>
              <w:t xml:space="preserve">1.76h</w:t>
            </w:r>
          </w:p>
        </w:tc>
        <w:tc>
          <w:tcPr>
            <w:tcW w:type="dxa" w:w="1500"/>
          </w:tcPr>
          <w:p>
            <w:pPr>
              <w:jc w:val="center"/>
            </w:pPr>
            <w:r>
              <w:t xml:space="preserve">5.25h</w:t>
            </w:r>
          </w:p>
        </w:tc>
      </w:tr>
    </w:tbl>
    <w:p>
      <w:pPr>
        <w:spacing w:after="300"/>
      </w:pPr>
      <w:r>
        <w:rPr>
          <w:i/>
          <w:iCs/>
        </w:rPr>
        <w:t xml:space="preserve">*Winter total = BRE-style winter probable sunlight hours, 21 September to 21 March, sampled weekly, at a coarser time-step than the single-point figures (see Methodology note at the end of this annex).</w:t>
      </w:r>
    </w:p>
    <w:p>
      <w:pPr>
        <w:pStyle w:val="Heading1"/>
        <w:spacing w:after="200" w:before="400"/>
      </w:pPr>
      <w:r>
        <w:t xml:space="preserve">B. Azimuth-specific analysis — the exact window of sky the proposed structure removes</w:t>
      </w:r>
    </w:p>
    <w:p>
      <w:pPr>
        <w:spacing w:after="200"/>
      </w:pPr>
      <w:r>
        <w:t xml:space="preserve">For bedroom 2, we identified the precise azimuth range on 21 March where the existing structure and/or the sloped mitigation allow direct sunlight through, but the proposed flat structure does not. The equivalent ante room figure, which used the grid method, has been withdrawn - see note at the start of this annex. This is the specific mechanism referenced in the main letter as the reason the officer's assumptions about existing conditions do not hold.</w:t>
      </w:r>
    </w:p>
    <w:p>
      <w:pPr>
        <w:spacing w:after="100" w:before="120"/>
      </w:pPr>
      <w:r>
        <w:rPr>
          <w:b/>
          <w:bCs/>
        </w:rPr>
        <w:t xml:space="preserve">Table 2: Azimuth-Specific Analysis of Sky Removed by the Proposed Structure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2200"/>
        <w:gridCol w:w="1900"/>
        <w:gridCol w:w="2200"/>
        <w:gridCol w:w="1500"/>
      </w:tblGrid>
      <w:tr>
        <w:tc>
          <w:tcPr>
            <w:tcW w:type="dxa" w:w="1900"/>
            <w:shd w:fill="EEEEEE" w:val="clear"/>
          </w:tcPr>
          <w:p>
            <w:pPr>
              <w:jc w:val="center"/>
            </w:pPr>
            <w:r>
              <w:rPr>
                <w:b/>
                <w:bCs/>
              </w:rPr>
              <w:t xml:space="preserve">Window</w:t>
            </w:r>
          </w:p>
        </w:tc>
        <w:tc>
          <w:tcPr>
            <w:tcW w:type="dxa" w:w="2200"/>
            <w:shd w:fill="EEEEEE" w:val="clear"/>
          </w:tcPr>
          <w:p>
            <w:pPr>
              <w:jc w:val="center"/>
            </w:pPr>
            <w:r>
              <w:rPr>
                <w:b/>
                <w:bCs/>
              </w:rPr>
              <w:t xml:space="preserve">Blocked azimuth range</w:t>
            </w:r>
          </w:p>
        </w:tc>
        <w:tc>
          <w:tcPr>
            <w:tcW w:type="dxa" w:w="1900"/>
            <w:shd w:fill="EEEEEE" w:val="clear"/>
          </w:tcPr>
          <w:p>
            <w:pPr>
              <w:jc w:val="center"/>
            </w:pPr>
            <w:r>
              <w:rPr>
                <w:b/>
                <w:bCs/>
              </w:rPr>
              <w:t xml:space="preserve">Approx. time (GMT)</w:t>
            </w:r>
          </w:p>
        </w:tc>
        <w:tc>
          <w:tcPr>
            <w:tcW w:type="dxa" w:w="2200"/>
            <w:shd w:fill="EEEEEE" w:val="clear"/>
          </w:tcPr>
          <w:p>
            <w:pPr>
              <w:jc w:val="center"/>
            </w:pPr>
            <w:r>
              <w:rPr>
                <w:b/>
                <w:bCs/>
              </w:rPr>
              <w:t xml:space="preserve">Existing clears?</w:t>
            </w:r>
          </w:p>
        </w:tc>
        <w:tc>
          <w:tcPr>
            <w:tcW w:type="dxa" w:w="1500"/>
            <w:shd w:fill="EEEEEE" w:val="clear"/>
          </w:tcPr>
          <w:p>
            <w:pPr>
              <w:jc w:val="center"/>
            </w:pPr>
            <w:r>
              <w:rPr>
                <w:b/>
                <w:bCs/>
              </w:rPr>
              <w:t xml:space="preserve">Sloped clears?</w:t>
            </w:r>
          </w:p>
        </w:tc>
      </w:tr>
      <w:tr>
        <w:tc>
          <w:tcPr>
            <w:tcW w:type="dxa" w:w="1900"/>
          </w:tcPr>
          <w:p>
            <w:r>
              <w:t xml:space="preserve">Bedroom 2</w:t>
            </w:r>
          </w:p>
        </w:tc>
        <w:tc>
          <w:tcPr>
            <w:tcW w:type="dxa" w:w="2200"/>
          </w:tcPr>
          <w:p>
            <w:pPr>
              <w:jc w:val="center"/>
            </w:pPr>
            <w:r>
              <w:t xml:space="preserve">163°–174°</w:t>
            </w:r>
          </w:p>
        </w:tc>
        <w:tc>
          <w:tcPr>
            <w:tcW w:type="dxa" w:w="1900"/>
          </w:tcPr>
          <w:p>
            <w:pPr>
              <w:jc w:val="center"/>
            </w:pPr>
            <w:r>
              <w:t xml:space="preserve">11:14–11:49</w:t>
            </w:r>
          </w:p>
        </w:tc>
        <w:tc>
          <w:tcPr>
            <w:tcW w:type="dxa" w:w="2200"/>
          </w:tcPr>
          <w:p>
            <w:pPr>
              <w:jc w:val="center"/>
            </w:pPr>
            <w:r>
              <w:t xml:space="preserve">Partially (168°–174° only)</w:t>
            </w:r>
          </w:p>
        </w:tc>
        <w:tc>
          <w:tcPr>
            <w:tcW w:type="dxa" w:w="1500"/>
          </w:tcPr>
          <w:p>
            <w:pPr>
              <w:jc w:val="center"/>
            </w:pPr>
            <w:r>
              <w:t xml:space="preserve">Yes (full range)</w:t>
            </w:r>
          </w:p>
        </w:tc>
      </w:tr>
    </w:tbl>
    <w:p>
      <w:pPr>
        <w:spacing w:after="100"/>
      </w:pPr>
      <w:r>
        <w:t xml:space="preserve"/>
      </w:r>
    </w:p>
    <w:p>
      <w:pPr>
        <w:spacing w:after="300"/>
      </w:pPr>
      <w:r>
        <w:t xml:space="preserve">The full minute-by-minute sun-position sweep behind this table (azimuth, altitude, and clearance result for existing/proposed/sloped at both windows, 5-minute resolution across the full 150°–235° range) is available as a supplementary dataset on request.</w:t>
      </w:r>
    </w:p>
    <w:p>
      <w:pPr>
        <w:pStyle w:val="Heading1"/>
        <w:spacing w:after="200" w:before="400"/>
      </w:pPr>
      <w:r>
        <w:t xml:space="preserve">C. Full six-scenario comparison, including the stepped alternative</w:t>
      </w:r>
    </w:p>
    <w:p>
      <w:pPr>
        <w:spacing w:after="200"/>
      </w:pPr>
      <w:r>
        <w:t xml:space="preserve">This table includes two design options not carried through to the main letter: the stepped roof profile (mirroring our own extension's shape) at both the full proposed length and a shorter, existing-matching length. We tested this option because we originally suggested it as a possible mitigation; the data below is why we no longer consider it viable, and is kept here for completeness and scrutiny rather than in the main letter, where only the conclusion is stated.</w:t>
      </w:r>
    </w:p>
    <w:p>
      <w:pPr>
        <w:spacing w:after="100" w:before="120"/>
      </w:pPr>
      <w:r>
        <w:rPr>
          <w:b/>
          <w:bCs/>
        </w:rPr>
        <w:t xml:space="preserve">Table 3: Full Scenario Comparison, Including the Stepped Alternative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2200"/>
        <w:gridCol w:w="1500"/>
        <w:gridCol w:w="1500"/>
        <w:gridCol w:w="1500"/>
      </w:tblGrid>
      <w:tr>
        <w:tc>
          <w:tcPr>
            <w:tcW w:type="dxa" w:w="1900"/>
            <w:shd w:fill="EEEEEE" w:val="clear"/>
          </w:tcPr>
          <w:p>
            <w:pPr>
              <w:jc w:val="center"/>
            </w:pPr>
            <w:r>
              <w:rPr>
                <w:b/>
                <w:bCs/>
              </w:rPr>
              <w:t xml:space="preserve">Room</w:t>
            </w:r>
          </w:p>
        </w:tc>
        <w:tc>
          <w:tcPr>
            <w:tcW w:type="dxa" w:w="2200"/>
            <w:shd w:fill="EEEEEE" w:val="clear"/>
          </w:tcPr>
          <w:p>
            <w:pPr>
              <w:jc w:val="center"/>
            </w:pPr>
            <w:r>
              <w:rPr>
                <w:b/>
                <w:bCs/>
              </w:rPr>
              <w:t xml:space="preserve">Scenario</w:t>
            </w:r>
          </w:p>
        </w:tc>
        <w:tc>
          <w:tcPr>
            <w:tcW w:type="dxa" w:w="1500"/>
            <w:shd w:fill="EEEEEE" w:val="clear"/>
          </w:tcPr>
          <w:p>
            <w:pPr>
              <w:jc w:val="center"/>
            </w:pPr>
            <w:r>
              <w:rPr>
                <w:b/>
                <w:bCs/>
              </w:rPr>
              <w:t xml:space="preserve">Winter total*</w:t>
            </w:r>
          </w:p>
        </w:tc>
        <w:tc>
          <w:tcPr>
            <w:tcW w:type="dxa" w:w="1500"/>
            <w:shd w:fill="EEEEEE" w:val="clear"/>
          </w:tcPr>
          <w:p>
            <w:pPr>
              <w:jc w:val="center"/>
            </w:pPr>
            <w:r>
              <w:rPr>
                <w:b/>
                <w:bCs/>
              </w:rPr>
              <w:t xml:space="preserve">21 March</w:t>
            </w:r>
          </w:p>
        </w:tc>
        <w:tc>
          <w:tcPr>
            <w:tcW w:type="dxa" w:w="1500"/>
            <w:shd w:fill="EEEEEE" w:val="clear"/>
          </w:tcPr>
          <w:p>
            <w:pPr>
              <w:jc w:val="center"/>
            </w:pPr>
            <w:r>
              <w:rPr>
                <w:b/>
                <w:bCs/>
              </w:rPr>
              <w:t xml:space="preserve">21 June</w:t>
            </w:r>
          </w:p>
        </w:tc>
      </w:tr>
      <w:tr>
        <w:tc>
          <w:tcPr>
            <w:tcW w:type="dxa" w:w="1900"/>
          </w:tcPr>
          <w:p>
            <w:r>
              <w:t xml:space="preserve">Bedroom 2</w:t>
            </w:r>
          </w:p>
        </w:tc>
        <w:tc>
          <w:tcPr>
            <w:tcW w:type="dxa" w:w="2200"/>
          </w:tcPr>
          <w:p>
            <w:pPr>
              <w:jc w:val="center"/>
            </w:pPr>
            <w:r>
              <w:t xml:space="preserve">Existing</w:t>
            </w:r>
          </w:p>
        </w:tc>
        <w:tc>
          <w:tcPr>
            <w:tcW w:type="dxa" w:w="1500"/>
          </w:tcPr>
          <w:p>
            <w:pPr>
              <w:jc w:val="center"/>
            </w:pPr>
            <w:r>
              <w:t xml:space="preserve">11.4h</w:t>
            </w:r>
          </w:p>
        </w:tc>
        <w:tc>
          <w:tcPr>
            <w:tcW w:type="dxa" w:w="1500"/>
          </w:tcPr>
          <w:p>
            <w:pPr>
              <w:jc w:val="center"/>
            </w:pPr>
            <w:r>
              <w:t xml:space="preserve">1.67h</w:t>
            </w:r>
          </w:p>
        </w:tc>
        <w:tc>
          <w:tcPr>
            <w:tcW w:type="dxa" w:w="1500"/>
          </w:tcPr>
          <w:p>
            <w:pPr>
              <w:jc w:val="center"/>
            </w:pPr>
            <w:r>
              <w:t xml:space="preserve">5.97h</w:t>
            </w:r>
          </w:p>
        </w:tc>
      </w:tr>
      <w:tr>
        <w:tc>
          <w:tcPr>
            <w:tcW w:type="dxa" w:w="1900"/>
          </w:tcPr>
          <w:p>
            <w:r>
              <w:t xml:space="preserve">Bedroom 2</w:t>
            </w:r>
          </w:p>
        </w:tc>
        <w:tc>
          <w:tcPr>
            <w:tcW w:type="dxa" w:w="2200"/>
          </w:tcPr>
          <w:p>
            <w:pPr>
              <w:jc w:val="center"/>
            </w:pPr>
            <w:r>
              <w:t xml:space="preserve">Proposed (flat, 7.82m)</w:t>
            </w:r>
          </w:p>
        </w:tc>
        <w:tc>
          <w:tcPr>
            <w:tcW w:type="dxa" w:w="1500"/>
          </w:tcPr>
          <w:p>
            <w:pPr>
              <w:jc w:val="center"/>
            </w:pPr>
            <w:r>
              <w:t xml:space="preserve">4.7h</w:t>
            </w:r>
          </w:p>
        </w:tc>
        <w:tc>
          <w:tcPr>
            <w:tcW w:type="dxa" w:w="1500"/>
          </w:tcPr>
          <w:p>
            <w:pPr>
              <w:jc w:val="center"/>
            </w:pPr>
            <w:r>
              <w:t xml:space="preserve">1.20h</w:t>
            </w:r>
          </w:p>
        </w:tc>
        <w:tc>
          <w:tcPr>
            <w:tcW w:type="dxa" w:w="1500"/>
          </w:tcPr>
          <w:p>
            <w:pPr>
              <w:jc w:val="center"/>
            </w:pPr>
            <w:r>
              <w:t xml:space="preserve">5.97h</w:t>
            </w:r>
          </w:p>
        </w:tc>
      </w:tr>
      <w:tr>
        <w:tc>
          <w:tcPr>
            <w:tcW w:type="dxa" w:w="1900"/>
          </w:tcPr>
          <w:p>
            <w:r>
              <w:t xml:space="preserve">Bedroom 2</w:t>
            </w:r>
          </w:p>
        </w:tc>
        <w:tc>
          <w:tcPr>
            <w:tcW w:type="dxa" w:w="2200"/>
          </w:tcPr>
          <w:p>
            <w:pPr>
              <w:jc w:val="center"/>
            </w:pPr>
            <w:r>
              <w:t xml:space="preserve">Sloped, 7.82m</w:t>
            </w:r>
          </w:p>
        </w:tc>
        <w:tc>
          <w:tcPr>
            <w:tcW w:type="dxa" w:w="1500"/>
          </w:tcPr>
          <w:p>
            <w:pPr>
              <w:jc w:val="center"/>
            </w:pPr>
            <w:r>
              <w:t xml:space="preserve">15.7h</w:t>
            </w:r>
          </w:p>
        </w:tc>
        <w:tc>
          <w:tcPr>
            <w:tcW w:type="dxa" w:w="1500"/>
          </w:tcPr>
          <w:p>
            <w:pPr>
              <w:jc w:val="center"/>
            </w:pPr>
            <w:r>
              <w:t xml:space="preserve">1.90h</w:t>
            </w:r>
          </w:p>
        </w:tc>
        <w:tc>
          <w:tcPr>
            <w:tcW w:type="dxa" w:w="1500"/>
          </w:tcPr>
          <w:p>
            <w:pPr>
              <w:jc w:val="center"/>
            </w:pPr>
            <w:r>
              <w:t xml:space="preserve">5.97h</w:t>
            </w:r>
          </w:p>
        </w:tc>
      </w:tr>
      <w:tr>
        <w:tc>
          <w:tcPr>
            <w:tcW w:type="dxa" w:w="1900"/>
          </w:tcPr>
          <w:p>
            <w:r>
              <w:t xml:space="preserve">Bedroom 2</w:t>
            </w:r>
          </w:p>
        </w:tc>
        <w:tc>
          <w:tcPr>
            <w:tcW w:type="dxa" w:w="2200"/>
          </w:tcPr>
          <w:p>
            <w:pPr>
              <w:jc w:val="center"/>
            </w:pPr>
            <w:r>
              <w:t xml:space="preserve">Sloped, 3.4m</w:t>
            </w:r>
          </w:p>
        </w:tc>
        <w:tc>
          <w:tcPr>
            <w:tcW w:type="dxa" w:w="1500"/>
          </w:tcPr>
          <w:p>
            <w:pPr>
              <w:jc w:val="center"/>
            </w:pPr>
            <w:r>
              <w:t xml:space="preserve">15.7h</w:t>
            </w:r>
          </w:p>
        </w:tc>
        <w:tc>
          <w:tcPr>
            <w:tcW w:type="dxa" w:w="1500"/>
          </w:tcPr>
          <w:p>
            <w:pPr>
              <w:jc w:val="center"/>
            </w:pPr>
            <w:r>
              <w:t xml:space="preserve">1.90h</w:t>
            </w:r>
          </w:p>
        </w:tc>
        <w:tc>
          <w:tcPr>
            <w:tcW w:type="dxa" w:w="1500"/>
          </w:tcPr>
          <w:p>
            <w:pPr>
              <w:jc w:val="center"/>
            </w:pPr>
            <w:r>
              <w:t xml:space="preserve">5.97h</w:t>
            </w:r>
          </w:p>
        </w:tc>
      </w:tr>
      <w:tr>
        <w:tc>
          <w:tcPr>
            <w:tcW w:type="dxa" w:w="1900"/>
          </w:tcPr>
          <w:p>
            <w:r>
              <w:t xml:space="preserve">Bedroom 2</w:t>
            </w:r>
          </w:p>
        </w:tc>
        <w:tc>
          <w:tcPr>
            <w:tcW w:type="dxa" w:w="2200"/>
          </w:tcPr>
          <w:p>
            <w:pPr>
              <w:jc w:val="center"/>
            </w:pPr>
            <w:r>
              <w:t xml:space="preserve">Stepped, 7.82m</w:t>
            </w:r>
          </w:p>
        </w:tc>
        <w:tc>
          <w:tcPr>
            <w:tcW w:type="dxa" w:w="1500"/>
          </w:tcPr>
          <w:p>
            <w:pPr>
              <w:jc w:val="center"/>
            </w:pPr>
            <w:r>
              <w:t xml:space="preserve">9.3h</w:t>
            </w:r>
          </w:p>
        </w:tc>
        <w:tc>
          <w:tcPr>
            <w:tcW w:type="dxa" w:w="1500"/>
          </w:tcPr>
          <w:p>
            <w:pPr>
              <w:jc w:val="center"/>
            </w:pPr>
            <w:r>
              <w:t xml:space="preserve">1.83h</w:t>
            </w:r>
          </w:p>
        </w:tc>
        <w:tc>
          <w:tcPr>
            <w:tcW w:type="dxa" w:w="1500"/>
          </w:tcPr>
          <w:p>
            <w:pPr>
              <w:jc w:val="center"/>
            </w:pPr>
            <w:r>
              <w:t xml:space="preserve">5.97h</w:t>
            </w:r>
          </w:p>
        </w:tc>
      </w:tr>
      <w:tr>
        <w:tc>
          <w:tcPr>
            <w:tcW w:type="dxa" w:w="1900"/>
          </w:tcPr>
          <w:p>
            <w:r>
              <w:t xml:space="preserve">Bedroom 2</w:t>
            </w:r>
          </w:p>
        </w:tc>
        <w:tc>
          <w:tcPr>
            <w:tcW w:type="dxa" w:w="2200"/>
          </w:tcPr>
          <w:p>
            <w:pPr>
              <w:jc w:val="center"/>
            </w:pPr>
            <w:r>
              <w:t xml:space="preserve">Stepped, 3.4m</w:t>
            </w:r>
          </w:p>
        </w:tc>
        <w:tc>
          <w:tcPr>
            <w:tcW w:type="dxa" w:w="1500"/>
          </w:tcPr>
          <w:p>
            <w:pPr>
              <w:jc w:val="center"/>
            </w:pPr>
            <w:r>
              <w:t xml:space="preserve">9.3h</w:t>
            </w:r>
          </w:p>
        </w:tc>
        <w:tc>
          <w:tcPr>
            <w:tcW w:type="dxa" w:w="1500"/>
          </w:tcPr>
          <w:p>
            <w:pPr>
              <w:jc w:val="center"/>
            </w:pPr>
            <w:r>
              <w:t xml:space="preserve">1.83h</w:t>
            </w:r>
          </w:p>
        </w:tc>
        <w:tc>
          <w:tcPr>
            <w:tcW w:type="dxa" w:w="1500"/>
          </w:tcPr>
          <w:p>
            <w:pPr>
              <w:jc w:val="center"/>
            </w:pPr>
            <w:r>
              <w:t xml:space="preserve">5.97h</w:t>
            </w:r>
          </w:p>
        </w:tc>
      </w:tr>
      <w:tr>
        <w:tc>
          <w:tcPr>
            <w:tcW w:type="dxa" w:w="1900"/>
          </w:tcPr>
          <w:p>
            <w:r>
              <w:t xml:space="preserve">Ante room</w:t>
            </w:r>
          </w:p>
        </w:tc>
        <w:tc>
          <w:tcPr>
            <w:tcW w:type="dxa" w:w="2200"/>
          </w:tcPr>
          <w:p>
            <w:pPr>
              <w:jc w:val="center"/>
            </w:pPr>
            <w:r>
              <w:t xml:space="preserve">Existing</w:t>
            </w:r>
          </w:p>
        </w:tc>
        <w:tc>
          <w:tcPr>
            <w:tcW w:type="dxa" w:w="1500"/>
          </w:tcPr>
          <w:p>
            <w:pPr>
              <w:jc w:val="center"/>
            </w:pPr>
            <w:r>
              <w:t xml:space="preserve">6.6h</w:t>
            </w:r>
          </w:p>
        </w:tc>
        <w:tc>
          <w:tcPr>
            <w:tcW w:type="dxa" w:w="1500"/>
          </w:tcPr>
          <w:p>
            <w:pPr>
              <w:jc w:val="center"/>
            </w:pPr>
            <w:r>
              <w:t xml:space="preserve">1.25h</w:t>
            </w:r>
          </w:p>
        </w:tc>
        <w:tc>
          <w:tcPr>
            <w:tcW w:type="dxa" w:w="1500"/>
          </w:tcPr>
          <w:p>
            <w:pPr>
              <w:jc w:val="center"/>
            </w:pPr>
            <w:r>
              <w:t xml:space="preserve">1.87h</w:t>
            </w:r>
          </w:p>
        </w:tc>
      </w:tr>
      <w:tr>
        <w:tc>
          <w:tcPr>
            <w:tcW w:type="dxa" w:w="1900"/>
          </w:tcPr>
          <w:p>
            <w:r>
              <w:t xml:space="preserve">Ante room</w:t>
            </w:r>
          </w:p>
        </w:tc>
        <w:tc>
          <w:tcPr>
            <w:tcW w:type="dxa" w:w="2200"/>
          </w:tcPr>
          <w:p>
            <w:pPr>
              <w:jc w:val="center"/>
            </w:pPr>
            <w:r>
              <w:t xml:space="preserve">Proposed (flat, 7.82m)</w:t>
            </w:r>
          </w:p>
        </w:tc>
        <w:tc>
          <w:tcPr>
            <w:tcW w:type="dxa" w:w="1500"/>
          </w:tcPr>
          <w:p>
            <w:pPr>
              <w:jc w:val="center"/>
            </w:pPr>
            <w:r>
              <w:t xml:space="preserve">4.7h</w:t>
            </w:r>
          </w:p>
        </w:tc>
        <w:tc>
          <w:tcPr>
            <w:tcW w:type="dxa" w:w="1500"/>
          </w:tcPr>
          <w:p>
            <w:pPr>
              <w:jc w:val="center"/>
            </w:pPr>
            <w:r>
              <w:t xml:space="preserve">1.25h</w:t>
            </w:r>
          </w:p>
        </w:tc>
        <w:tc>
          <w:tcPr>
            <w:tcW w:type="dxa" w:w="1500"/>
          </w:tcPr>
          <w:p>
            <w:pPr>
              <w:jc w:val="center"/>
            </w:pPr>
            <w:r>
              <w:t xml:space="preserve">1.87h</w:t>
            </w:r>
          </w:p>
        </w:tc>
      </w:tr>
      <w:tr>
        <w:tc>
          <w:tcPr>
            <w:tcW w:type="dxa" w:w="1900"/>
          </w:tcPr>
          <w:p>
            <w:r>
              <w:t xml:space="preserve">Ante room</w:t>
            </w:r>
          </w:p>
        </w:tc>
        <w:tc>
          <w:tcPr>
            <w:tcW w:type="dxa" w:w="2200"/>
          </w:tcPr>
          <w:p>
            <w:pPr>
              <w:jc w:val="center"/>
            </w:pPr>
            <w:r>
              <w:t xml:space="preserve">Sloped, either length</w:t>
            </w:r>
          </w:p>
        </w:tc>
        <w:tc>
          <w:tcPr>
            <w:tcW w:type="dxa" w:w="1500"/>
          </w:tcPr>
          <w:p>
            <w:pPr>
              <w:jc w:val="center"/>
            </w:pPr>
            <w:r>
              <w:t xml:space="preserve">6.6h</w:t>
            </w:r>
          </w:p>
        </w:tc>
        <w:tc>
          <w:tcPr>
            <w:tcW w:type="dxa" w:w="1500"/>
          </w:tcPr>
          <w:p>
            <w:pPr>
              <w:jc w:val="center"/>
            </w:pPr>
            <w:r>
              <w:t xml:space="preserve">1.25h</w:t>
            </w:r>
          </w:p>
        </w:tc>
        <w:tc>
          <w:tcPr>
            <w:tcW w:type="dxa" w:w="1500"/>
          </w:tcPr>
          <w:p>
            <w:pPr>
              <w:jc w:val="center"/>
            </w:pPr>
            <w:r>
              <w:t xml:space="preserve">1.87h</w:t>
            </w:r>
          </w:p>
        </w:tc>
      </w:tr>
      <w:tr>
        <w:tc>
          <w:tcPr>
            <w:tcW w:type="dxa" w:w="1900"/>
          </w:tcPr>
          <w:p>
            <w:r>
              <w:t xml:space="preserve">Ante room</w:t>
            </w:r>
          </w:p>
        </w:tc>
        <w:tc>
          <w:tcPr>
            <w:tcW w:type="dxa" w:w="2200"/>
          </w:tcPr>
          <w:p>
            <w:pPr>
              <w:jc w:val="center"/>
            </w:pPr>
            <w:r>
              <w:t xml:space="preserve">Stepped, either length</w:t>
            </w:r>
          </w:p>
        </w:tc>
        <w:tc>
          <w:tcPr>
            <w:tcW w:type="dxa" w:w="1500"/>
          </w:tcPr>
          <w:p>
            <w:pPr>
              <w:jc w:val="center"/>
            </w:pPr>
            <w:r>
              <w:t xml:space="preserve">4.7h</w:t>
            </w:r>
          </w:p>
        </w:tc>
        <w:tc>
          <w:tcPr>
            <w:tcW w:type="dxa" w:w="1500"/>
          </w:tcPr>
          <w:p>
            <w:pPr>
              <w:jc w:val="center"/>
            </w:pPr>
            <w:r>
              <w:t xml:space="preserve">1.25h</w:t>
            </w:r>
          </w:p>
        </w:tc>
        <w:tc>
          <w:tcPr>
            <w:tcW w:type="dxa" w:w="1500"/>
          </w:tcPr>
          <w:p>
            <w:pPr>
              <w:jc w:val="center"/>
            </w:pPr>
            <w:r>
              <w:t xml:space="preserve">1.87h</w:t>
            </w:r>
          </w:p>
        </w:tc>
      </w:tr>
    </w:tbl>
    <w:p>
      <w:pPr>
        <w:spacing w:after="300"/>
      </w:pPr>
      <w:r>
        <w:rPr>
          <w:i/>
          <w:iCs/>
        </w:rPr>
        <w:t xml:space="preserve">*Winter total = BRE-style winter probable sunlight hours, 21 September to 21 March, sampled weekly, single-point method (window centre).</w:t>
      </w:r>
    </w:p>
    <w:p>
      <w:pPr>
        <w:pStyle w:val="Heading1"/>
        <w:spacing w:after="200" w:before="400"/>
      </w:pPr>
      <w:r>
        <w:t xml:space="preserve">Methodology note</w:t>
      </w:r>
    </w:p>
    <w:p>
      <w:pPr>
        <w:spacing w:after="200"/>
      </w:pPr>
      <w:r>
        <w:t xml:space="preserve">All figures are calculated using a validated ray-tracing model incorporating every structure shown in the applicant's submitted drawings and our own property, cross-checked against known reference cases before use. Winter-total (grid) figures in Section A use a 3-minute time step for computational tractability; all other figures use a 1 or 2-minute time step. Existing conditions reflect the applicant's own submitted drawings, scaled and cross-checked against our own site measurements. We are happy to provide further detail, the underlying calculation method, or additional scenario comparisons on request.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2026-07-17T12:24:47.717Z</dcterms:created>
  <dcterms:modified xsi:type="dcterms:W3CDTF">2026-07-17T12:24:47.733Z</dcterms:modified>
</cp:coreProperties>
</file>

<file path=docProps/custom.xml><?xml version="1.0" encoding="utf-8"?>
<Properties xmlns="http://schemas.openxmlformats.org/officeDocument/2006/custom-properties" xmlns:vt="http://schemas.openxmlformats.org/officeDocument/2006/docPropsVTypes"/>
</file>