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17EE6" w14:textId="18DDD5CF" w:rsidR="00FA1E99" w:rsidRPr="004F7B4C" w:rsidRDefault="00F72DB9" w:rsidP="005F76D5">
      <w:pPr>
        <w:spacing w:line="276" w:lineRule="auto"/>
        <w:rPr>
          <w:rFonts w:ascii="Arial" w:hAnsi="Arial" w:cs="Times New Roman (Body CS)"/>
          <w:sz w:val="22"/>
          <w:szCs w:val="22"/>
        </w:rPr>
      </w:pPr>
      <w:r w:rsidRPr="004F7B4C">
        <w:rPr>
          <w:rFonts w:ascii="Arial" w:hAnsi="Arial" w:cs="Times New Roman (Body CS)"/>
          <w:noProof/>
          <w:sz w:val="22"/>
          <w:szCs w:val="22"/>
        </w:rPr>
        <w:drawing>
          <wp:inline distT="0" distB="0" distL="0" distR="0" wp14:anchorId="11603447" wp14:editId="54C820C7">
            <wp:extent cx="1510748" cy="535455"/>
            <wp:effectExtent l="0" t="0" r="635" b="0"/>
            <wp:docPr id="47756288" name="Picture 1" descr="A gold letter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56288" name="Picture 1" descr="A gold letter on a white background&#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1541284" cy="546278"/>
                    </a:xfrm>
                    <a:prstGeom prst="rect">
                      <a:avLst/>
                    </a:prstGeom>
                  </pic:spPr>
                </pic:pic>
              </a:graphicData>
            </a:graphic>
          </wp:inline>
        </w:drawing>
      </w:r>
    </w:p>
    <w:p w14:paraId="3F1EB20A" w14:textId="77777777" w:rsidR="00F72DB9" w:rsidRPr="004F7B4C" w:rsidRDefault="00F72DB9" w:rsidP="005F76D5">
      <w:pPr>
        <w:spacing w:line="276" w:lineRule="auto"/>
        <w:rPr>
          <w:rFonts w:ascii="Arial" w:hAnsi="Arial" w:cs="Times New Roman (Body CS)"/>
          <w:sz w:val="28"/>
          <w:szCs w:val="28"/>
        </w:rPr>
      </w:pPr>
    </w:p>
    <w:p w14:paraId="4AA5EF85" w14:textId="61D907BD" w:rsidR="006A1EB5" w:rsidRPr="004F7B4C" w:rsidRDefault="00FA1E99" w:rsidP="005F76D5">
      <w:pPr>
        <w:spacing w:line="276" w:lineRule="auto"/>
        <w:rPr>
          <w:rFonts w:ascii="Arial" w:hAnsi="Arial" w:cs="Times New Roman (Body CS)"/>
          <w:sz w:val="28"/>
          <w:szCs w:val="28"/>
        </w:rPr>
      </w:pPr>
      <w:r w:rsidRPr="004F7B4C">
        <w:rPr>
          <w:rFonts w:ascii="Arial" w:hAnsi="Arial" w:cs="Times New Roman (Body CS)"/>
          <w:sz w:val="28"/>
          <w:szCs w:val="28"/>
        </w:rPr>
        <w:t>THVIA HARRINGAY WAREHOUSE DISTRICT, 314 EADE ROAD, LONDON N15 6RD</w:t>
      </w:r>
      <w:r w:rsidR="00525DC2" w:rsidRPr="004F7B4C">
        <w:rPr>
          <w:rFonts w:ascii="Arial" w:hAnsi="Arial" w:cs="Times New Roman (Body CS)"/>
          <w:sz w:val="28"/>
          <w:szCs w:val="28"/>
        </w:rPr>
        <w:t>:</w:t>
      </w:r>
      <w:r w:rsidRPr="004F7B4C">
        <w:rPr>
          <w:rFonts w:ascii="Arial" w:hAnsi="Arial" w:cs="Times New Roman (Body CS)"/>
          <w:sz w:val="28"/>
          <w:szCs w:val="28"/>
        </w:rPr>
        <w:t xml:space="preserve"> SUPPLEMENTARY NOTE </w:t>
      </w:r>
      <w:r w:rsidR="00525DC2" w:rsidRPr="004F7B4C">
        <w:rPr>
          <w:rFonts w:ascii="Arial" w:hAnsi="Arial" w:cs="Times New Roman (Body CS)"/>
          <w:sz w:val="28"/>
          <w:szCs w:val="28"/>
        </w:rPr>
        <w:t>ON</w:t>
      </w:r>
      <w:r w:rsidRPr="004F7B4C">
        <w:rPr>
          <w:rFonts w:ascii="Arial" w:hAnsi="Arial" w:cs="Times New Roman (Body CS)"/>
          <w:sz w:val="28"/>
          <w:szCs w:val="28"/>
        </w:rPr>
        <w:t xml:space="preserve"> HERITAGE EFFECTS</w:t>
      </w:r>
    </w:p>
    <w:p w14:paraId="7EEA086D" w14:textId="77777777" w:rsidR="006A1EB5" w:rsidRPr="004F7B4C" w:rsidRDefault="006A1EB5" w:rsidP="005F76D5">
      <w:pPr>
        <w:spacing w:line="276" w:lineRule="auto"/>
        <w:rPr>
          <w:rFonts w:ascii="Arial" w:hAnsi="Arial" w:cs="Times New Roman (Body CS)"/>
          <w:sz w:val="22"/>
          <w:szCs w:val="22"/>
        </w:rPr>
      </w:pPr>
    </w:p>
    <w:p w14:paraId="28E83DB0" w14:textId="50CEF2E1" w:rsidR="00AA1709" w:rsidRPr="004F7B4C" w:rsidRDefault="00D022CF" w:rsidP="00425736">
      <w:pPr>
        <w:spacing w:line="276" w:lineRule="auto"/>
        <w:rPr>
          <w:rFonts w:ascii="Constantia" w:hAnsi="Constantia" w:cs="Times New Roman (Body CS)"/>
          <w:sz w:val="22"/>
          <w:szCs w:val="22"/>
        </w:rPr>
      </w:pPr>
      <w:r w:rsidRPr="004F7B4C">
        <w:rPr>
          <w:rFonts w:ascii="Constantia" w:hAnsi="Constantia" w:cs="Times New Roman (Body CS)"/>
          <w:sz w:val="22"/>
          <w:szCs w:val="22"/>
        </w:rPr>
        <w:t>This note elaborates on the heritage assessment forming part of the submitted TVIHA.</w:t>
      </w:r>
    </w:p>
    <w:p w14:paraId="29D86F2E" w14:textId="77777777" w:rsidR="00D022CF" w:rsidRPr="004F7B4C" w:rsidRDefault="00D022CF" w:rsidP="00D022CF">
      <w:pPr>
        <w:spacing w:line="276" w:lineRule="auto"/>
        <w:rPr>
          <w:rFonts w:ascii="Constantia" w:hAnsi="Constantia" w:cs="Times New Roman (Body CS)"/>
          <w:sz w:val="22"/>
          <w:szCs w:val="22"/>
        </w:rPr>
      </w:pPr>
    </w:p>
    <w:p w14:paraId="7715BC01" w14:textId="510AC498" w:rsidR="006A1EB5" w:rsidRPr="004F7B4C" w:rsidRDefault="006A1EB5" w:rsidP="00D022CF">
      <w:pPr>
        <w:spacing w:line="276" w:lineRule="auto"/>
        <w:rPr>
          <w:rFonts w:ascii="Constantia" w:hAnsi="Constantia" w:cs="Arial"/>
          <w:sz w:val="22"/>
          <w:szCs w:val="22"/>
        </w:rPr>
      </w:pPr>
      <w:r w:rsidRPr="004F7B4C">
        <w:rPr>
          <w:rFonts w:ascii="Constantia" w:hAnsi="Constantia" w:cs="Arial"/>
          <w:sz w:val="22"/>
          <w:szCs w:val="22"/>
        </w:rPr>
        <w:t xml:space="preserve">Pages 10 to 13 of the THVIA set out the heritage context of the Site, this includes statements of significance of each heritage asset, and includes commentary on the settings of each and how this contributes to their significance </w:t>
      </w:r>
      <w:r w:rsidR="002C7646" w:rsidRPr="004F7B4C">
        <w:rPr>
          <w:rFonts w:ascii="Constantia" w:hAnsi="Constantia" w:cs="Arial"/>
          <w:sz w:val="22"/>
          <w:szCs w:val="22"/>
        </w:rPr>
        <w:t>(</w:t>
      </w:r>
      <w:r w:rsidRPr="004F7B4C">
        <w:rPr>
          <w:rFonts w:ascii="Constantia" w:hAnsi="Constantia" w:cs="Arial"/>
          <w:sz w:val="22"/>
          <w:szCs w:val="22"/>
        </w:rPr>
        <w:t>at paras 3.30, 3</w:t>
      </w:r>
      <w:r w:rsidR="00BF1FB7" w:rsidRPr="004F7B4C">
        <w:rPr>
          <w:rFonts w:ascii="Constantia" w:hAnsi="Constantia" w:cs="Arial"/>
          <w:sz w:val="22"/>
          <w:szCs w:val="22"/>
        </w:rPr>
        <w:t>.</w:t>
      </w:r>
      <w:r w:rsidRPr="004F7B4C">
        <w:rPr>
          <w:rFonts w:ascii="Constantia" w:hAnsi="Constantia" w:cs="Arial"/>
          <w:sz w:val="22"/>
          <w:szCs w:val="22"/>
        </w:rPr>
        <w:t>34, 3.40, 3.46, 3.53 and 3.57</w:t>
      </w:r>
      <w:r w:rsidR="002C7646" w:rsidRPr="004F7B4C">
        <w:rPr>
          <w:rFonts w:ascii="Constantia" w:hAnsi="Constantia" w:cs="Arial"/>
          <w:sz w:val="22"/>
          <w:szCs w:val="22"/>
        </w:rPr>
        <w:t>)</w:t>
      </w:r>
      <w:r w:rsidRPr="004F7B4C">
        <w:rPr>
          <w:rFonts w:ascii="Constantia" w:hAnsi="Constantia" w:cs="Arial"/>
          <w:sz w:val="22"/>
          <w:szCs w:val="22"/>
        </w:rPr>
        <w:t xml:space="preserve">. </w:t>
      </w:r>
      <w:r w:rsidR="00D74E29" w:rsidRPr="004F7B4C">
        <w:rPr>
          <w:rFonts w:ascii="Constantia" w:hAnsi="Constantia" w:cs="Arial"/>
          <w:sz w:val="22"/>
          <w:szCs w:val="22"/>
        </w:rPr>
        <w:t>The assessments of significance are proportionate to the importance of each and sufficient to understand the potential indirect impact (to their settings) of the proposal on their significance (as set out in para 194 of the NPPF).</w:t>
      </w:r>
      <w:r w:rsidRPr="004F7B4C">
        <w:rPr>
          <w:rFonts w:ascii="Constantia" w:hAnsi="Constantia" w:cs="Arial"/>
          <w:sz w:val="22"/>
          <w:szCs w:val="22"/>
        </w:rPr>
        <w:t xml:space="preserve">Fourteen of these 23 assets lie over 500m from the Site. </w:t>
      </w:r>
      <w:r w:rsidR="00F72DB9" w:rsidRPr="004F7B4C">
        <w:rPr>
          <w:rFonts w:ascii="Constantia" w:hAnsi="Constantia" w:cs="Arial"/>
          <w:sz w:val="22"/>
          <w:szCs w:val="22"/>
        </w:rPr>
        <w:t xml:space="preserve">The Site does not contribute any </w:t>
      </w:r>
      <w:r w:rsidR="00EB5FED" w:rsidRPr="004F7B4C">
        <w:rPr>
          <w:rFonts w:ascii="Constantia" w:hAnsi="Constantia" w:cs="Arial"/>
          <w:sz w:val="22"/>
          <w:szCs w:val="22"/>
        </w:rPr>
        <w:t>e</w:t>
      </w:r>
      <w:r w:rsidR="00F72DB9" w:rsidRPr="004F7B4C">
        <w:rPr>
          <w:rFonts w:ascii="Constantia" w:hAnsi="Constantia" w:cs="Arial"/>
          <w:sz w:val="22"/>
          <w:szCs w:val="22"/>
        </w:rPr>
        <w:t xml:space="preserve">lement of setting to the </w:t>
      </w:r>
      <w:r w:rsidR="00EB5FED" w:rsidRPr="004F7B4C">
        <w:rPr>
          <w:rFonts w:ascii="Constantia" w:hAnsi="Constantia" w:cs="Arial"/>
          <w:sz w:val="22"/>
          <w:szCs w:val="22"/>
        </w:rPr>
        <w:t>significance</w:t>
      </w:r>
      <w:r w:rsidR="00F72DB9" w:rsidRPr="004F7B4C">
        <w:rPr>
          <w:rFonts w:ascii="Constantia" w:hAnsi="Constantia" w:cs="Arial"/>
          <w:sz w:val="22"/>
          <w:szCs w:val="22"/>
        </w:rPr>
        <w:t xml:space="preserve"> </w:t>
      </w:r>
      <w:r w:rsidR="00EB5FED" w:rsidRPr="004F7B4C">
        <w:rPr>
          <w:rFonts w:ascii="Constantia" w:hAnsi="Constantia" w:cs="Arial"/>
          <w:sz w:val="22"/>
          <w:szCs w:val="22"/>
        </w:rPr>
        <w:t xml:space="preserve">to the setting of any heritage asset. </w:t>
      </w:r>
    </w:p>
    <w:p w14:paraId="5E025396" w14:textId="77777777" w:rsidR="006731B0" w:rsidRPr="004F7B4C" w:rsidRDefault="006731B0" w:rsidP="00D022CF">
      <w:pPr>
        <w:spacing w:line="276" w:lineRule="auto"/>
        <w:rPr>
          <w:rFonts w:ascii="Constantia" w:hAnsi="Constantia" w:cs="Arial"/>
          <w:sz w:val="22"/>
          <w:szCs w:val="22"/>
        </w:rPr>
      </w:pPr>
    </w:p>
    <w:p w14:paraId="64F9C499" w14:textId="1244E428" w:rsidR="006731B0" w:rsidRPr="004F7B4C" w:rsidRDefault="006731B0" w:rsidP="00D022CF">
      <w:pPr>
        <w:spacing w:line="276" w:lineRule="auto"/>
        <w:rPr>
          <w:rFonts w:ascii="Constantia" w:hAnsi="Constantia" w:cs="Arial"/>
          <w:sz w:val="22"/>
          <w:szCs w:val="22"/>
        </w:rPr>
      </w:pPr>
      <w:r w:rsidRPr="004F7B4C">
        <w:rPr>
          <w:rFonts w:ascii="Constantia" w:hAnsi="Constantia" w:cs="Arial"/>
          <w:sz w:val="22"/>
          <w:szCs w:val="22"/>
        </w:rPr>
        <w:t>The</w:t>
      </w:r>
      <w:r w:rsidR="002402E7" w:rsidRPr="004F7B4C">
        <w:rPr>
          <w:rFonts w:ascii="Constantia" w:hAnsi="Constantia" w:cs="Arial"/>
          <w:sz w:val="22"/>
          <w:szCs w:val="22"/>
        </w:rPr>
        <w:t xml:space="preserve"> closest </w:t>
      </w:r>
      <w:r w:rsidRPr="004F7B4C">
        <w:rPr>
          <w:rFonts w:ascii="Constantia" w:hAnsi="Constantia" w:cs="Arial"/>
          <w:sz w:val="22"/>
          <w:szCs w:val="22"/>
        </w:rPr>
        <w:t xml:space="preserve">designated heritage assets </w:t>
      </w:r>
      <w:r w:rsidR="002402E7" w:rsidRPr="004F7B4C">
        <w:rPr>
          <w:rFonts w:ascii="Constantia" w:hAnsi="Constantia" w:cs="Arial"/>
          <w:sz w:val="22"/>
          <w:szCs w:val="22"/>
        </w:rPr>
        <w:t>to the Site is the New River, the East and West Reservoirs Conservation Area (A)</w:t>
      </w:r>
      <w:r w:rsidR="004624F5" w:rsidRPr="004F7B4C">
        <w:rPr>
          <w:rFonts w:ascii="Constantia" w:hAnsi="Constantia" w:cs="Arial"/>
          <w:sz w:val="22"/>
          <w:szCs w:val="22"/>
        </w:rPr>
        <w:t>. Its significance can be summarised as derived from it</w:t>
      </w:r>
      <w:r w:rsidR="004F0A04" w:rsidRPr="004F7B4C">
        <w:rPr>
          <w:rFonts w:ascii="Constantia" w:hAnsi="Constantia" w:cs="Arial"/>
          <w:sz w:val="22"/>
          <w:szCs w:val="22"/>
        </w:rPr>
        <w:t xml:space="preserve">s </w:t>
      </w:r>
      <w:r w:rsidR="00A0795B" w:rsidRPr="004F7B4C">
        <w:rPr>
          <w:rFonts w:ascii="Constantia" w:hAnsi="Constantia" w:cs="Arial"/>
          <w:sz w:val="22"/>
          <w:szCs w:val="22"/>
        </w:rPr>
        <w:t>historic</w:t>
      </w:r>
      <w:r w:rsidR="004F0A04" w:rsidRPr="004F7B4C">
        <w:rPr>
          <w:rFonts w:ascii="Constantia" w:hAnsi="Constantia" w:cs="Arial"/>
          <w:sz w:val="22"/>
          <w:szCs w:val="22"/>
        </w:rPr>
        <w:t xml:space="preserve"> value as a </w:t>
      </w:r>
      <w:r w:rsidR="00A0795B" w:rsidRPr="004F7B4C">
        <w:rPr>
          <w:rFonts w:ascii="Constantia" w:hAnsi="Constantia" w:cs="Arial"/>
          <w:sz w:val="22"/>
          <w:szCs w:val="22"/>
        </w:rPr>
        <w:t xml:space="preserve">piece of C19 </w:t>
      </w:r>
      <w:r w:rsidR="009376FF" w:rsidRPr="004F7B4C">
        <w:rPr>
          <w:rFonts w:ascii="Constantia" w:hAnsi="Constantia" w:cs="Arial"/>
          <w:sz w:val="22"/>
          <w:szCs w:val="22"/>
        </w:rPr>
        <w:t>infrastructure</w:t>
      </w:r>
      <w:r w:rsidR="00A0795B" w:rsidRPr="004F7B4C">
        <w:rPr>
          <w:rFonts w:ascii="Constantia" w:hAnsi="Constantia" w:cs="Arial"/>
          <w:sz w:val="22"/>
          <w:szCs w:val="22"/>
        </w:rPr>
        <w:t xml:space="preserve">, </w:t>
      </w:r>
      <w:r w:rsidR="009376FF" w:rsidRPr="004F7B4C">
        <w:rPr>
          <w:rFonts w:ascii="Constantia" w:hAnsi="Constantia" w:cs="Arial"/>
          <w:sz w:val="22"/>
          <w:szCs w:val="22"/>
        </w:rPr>
        <w:t>including</w:t>
      </w:r>
      <w:r w:rsidR="00A0795B" w:rsidRPr="004F7B4C">
        <w:rPr>
          <w:rFonts w:ascii="Constantia" w:hAnsi="Constantia" w:cs="Arial"/>
          <w:sz w:val="22"/>
          <w:szCs w:val="22"/>
        </w:rPr>
        <w:t xml:space="preserve"> the asso</w:t>
      </w:r>
      <w:r w:rsidR="009376FF" w:rsidRPr="004F7B4C">
        <w:rPr>
          <w:rFonts w:ascii="Constantia" w:hAnsi="Constantia" w:cs="Arial"/>
          <w:sz w:val="22"/>
          <w:szCs w:val="22"/>
        </w:rPr>
        <w:t xml:space="preserve">ciated </w:t>
      </w:r>
      <w:r w:rsidR="00A0795B" w:rsidRPr="004F7B4C">
        <w:rPr>
          <w:rFonts w:ascii="Constantia" w:hAnsi="Constantia" w:cs="Arial"/>
          <w:sz w:val="22"/>
          <w:szCs w:val="22"/>
        </w:rPr>
        <w:t xml:space="preserve">listed </w:t>
      </w:r>
      <w:r w:rsidR="00D022CF" w:rsidRPr="004F7B4C">
        <w:rPr>
          <w:rFonts w:ascii="Constantia" w:hAnsi="Constantia" w:cs="Arial"/>
          <w:sz w:val="22"/>
          <w:szCs w:val="22"/>
        </w:rPr>
        <w:t>structures</w:t>
      </w:r>
      <w:r w:rsidR="00A0795B" w:rsidRPr="004F7B4C">
        <w:rPr>
          <w:rFonts w:ascii="Constantia" w:hAnsi="Constantia" w:cs="Arial"/>
          <w:sz w:val="22"/>
          <w:szCs w:val="22"/>
        </w:rPr>
        <w:t xml:space="preserve">, and </w:t>
      </w:r>
      <w:r w:rsidR="009376FF" w:rsidRPr="004F7B4C">
        <w:rPr>
          <w:rFonts w:ascii="Constantia" w:hAnsi="Constantia" w:cs="Arial"/>
          <w:sz w:val="22"/>
          <w:szCs w:val="22"/>
        </w:rPr>
        <w:t xml:space="preserve">also for the local amenity it provides today and the views of and across the </w:t>
      </w:r>
      <w:r w:rsidR="009D5009" w:rsidRPr="004F7B4C">
        <w:rPr>
          <w:rFonts w:ascii="Constantia" w:hAnsi="Constantia" w:cs="Arial"/>
          <w:sz w:val="22"/>
          <w:szCs w:val="22"/>
        </w:rPr>
        <w:t>reservoir.</w:t>
      </w:r>
    </w:p>
    <w:p w14:paraId="5722AD7B" w14:textId="77777777" w:rsidR="00722AE3" w:rsidRPr="004F7B4C" w:rsidRDefault="00722AE3" w:rsidP="00D022CF">
      <w:pPr>
        <w:spacing w:line="276" w:lineRule="auto"/>
        <w:rPr>
          <w:rFonts w:ascii="Constantia" w:hAnsi="Constantia" w:cs="Arial"/>
          <w:sz w:val="22"/>
          <w:szCs w:val="22"/>
        </w:rPr>
      </w:pPr>
    </w:p>
    <w:p w14:paraId="448473C8" w14:textId="440DD2E1" w:rsidR="00722AE3" w:rsidRPr="004F7B4C" w:rsidRDefault="00722AE3" w:rsidP="00D022CF">
      <w:pPr>
        <w:spacing w:line="276" w:lineRule="auto"/>
        <w:rPr>
          <w:rFonts w:ascii="Constantia" w:hAnsi="Constantia" w:cs="Arial"/>
          <w:sz w:val="22"/>
          <w:szCs w:val="22"/>
        </w:rPr>
      </w:pPr>
      <w:r w:rsidRPr="004F7B4C">
        <w:rPr>
          <w:rFonts w:ascii="Constantia" w:hAnsi="Constantia" w:cs="Arial"/>
          <w:sz w:val="22"/>
          <w:szCs w:val="22"/>
        </w:rPr>
        <w:t xml:space="preserve">To the </w:t>
      </w:r>
      <w:r w:rsidR="000034CA" w:rsidRPr="004F7B4C">
        <w:rPr>
          <w:rFonts w:ascii="Constantia" w:hAnsi="Constantia" w:cs="Arial"/>
          <w:sz w:val="22"/>
          <w:szCs w:val="22"/>
        </w:rPr>
        <w:t>south</w:t>
      </w:r>
      <w:r w:rsidRPr="004F7B4C">
        <w:rPr>
          <w:rFonts w:ascii="Constantia" w:hAnsi="Constantia" w:cs="Arial"/>
          <w:sz w:val="22"/>
          <w:szCs w:val="22"/>
        </w:rPr>
        <w:t>-west of the Site</w:t>
      </w:r>
      <w:r w:rsidR="00D74E29" w:rsidRPr="004F7B4C">
        <w:rPr>
          <w:rFonts w:ascii="Constantia" w:hAnsi="Constantia" w:cs="Arial"/>
          <w:sz w:val="22"/>
          <w:szCs w:val="22"/>
        </w:rPr>
        <w:t xml:space="preserve"> is</w:t>
      </w:r>
      <w:r w:rsidRPr="004F7B4C">
        <w:rPr>
          <w:rFonts w:ascii="Constantia" w:hAnsi="Constantia" w:cs="Arial"/>
          <w:sz w:val="22"/>
          <w:szCs w:val="22"/>
        </w:rPr>
        <w:t xml:space="preserve"> the </w:t>
      </w:r>
      <w:r w:rsidR="00302475" w:rsidRPr="004F7B4C">
        <w:rPr>
          <w:rFonts w:ascii="Constantia" w:hAnsi="Constantia" w:cs="Arial"/>
          <w:sz w:val="22"/>
          <w:szCs w:val="22"/>
        </w:rPr>
        <w:t xml:space="preserve">grade II listed </w:t>
      </w:r>
      <w:r w:rsidRPr="004F7B4C">
        <w:rPr>
          <w:rFonts w:ascii="Constantia" w:hAnsi="Constantia" w:cs="Arial"/>
          <w:sz w:val="22"/>
          <w:szCs w:val="22"/>
        </w:rPr>
        <w:t>Woodberry Down Community JMI School, Woodberry Grove</w:t>
      </w:r>
      <w:r w:rsidR="00D74E29" w:rsidRPr="004F7B4C">
        <w:rPr>
          <w:rFonts w:ascii="Constantia" w:hAnsi="Constantia" w:cs="Arial"/>
          <w:sz w:val="22"/>
          <w:szCs w:val="22"/>
        </w:rPr>
        <w:t>. Its significance can be summarised</w:t>
      </w:r>
      <w:r w:rsidRPr="004F7B4C">
        <w:rPr>
          <w:rFonts w:ascii="Constantia" w:hAnsi="Constantia" w:cs="Arial"/>
          <w:sz w:val="22"/>
          <w:szCs w:val="22"/>
        </w:rPr>
        <w:t xml:space="preserve"> </w:t>
      </w:r>
      <w:r w:rsidR="00D74E29" w:rsidRPr="004F7B4C">
        <w:rPr>
          <w:rFonts w:ascii="Constantia" w:hAnsi="Constantia" w:cs="Arial"/>
          <w:sz w:val="22"/>
          <w:szCs w:val="22"/>
        </w:rPr>
        <w:t>as derived from it being</w:t>
      </w:r>
      <w:r w:rsidRPr="004F7B4C">
        <w:rPr>
          <w:rFonts w:ascii="Constantia" w:hAnsi="Constantia" w:cs="Arial"/>
          <w:sz w:val="22"/>
          <w:szCs w:val="22"/>
        </w:rPr>
        <w:t xml:space="preserve"> a po</w:t>
      </w:r>
      <w:r w:rsidR="00D74E29" w:rsidRPr="004F7B4C">
        <w:rPr>
          <w:rFonts w:ascii="Constantia" w:hAnsi="Constantia" w:cs="Arial"/>
          <w:sz w:val="22"/>
          <w:szCs w:val="22"/>
        </w:rPr>
        <w:t>s</w:t>
      </w:r>
      <w:r w:rsidRPr="004F7B4C">
        <w:rPr>
          <w:rFonts w:ascii="Constantia" w:hAnsi="Constantia" w:cs="Arial"/>
          <w:sz w:val="22"/>
          <w:szCs w:val="22"/>
        </w:rPr>
        <w:t xml:space="preserve">t-war </w:t>
      </w:r>
      <w:r w:rsidR="000034CA" w:rsidRPr="004F7B4C">
        <w:rPr>
          <w:rFonts w:ascii="Constantia" w:hAnsi="Constantia" w:cs="Arial"/>
          <w:sz w:val="22"/>
          <w:szCs w:val="22"/>
        </w:rPr>
        <w:t>school</w:t>
      </w:r>
      <w:r w:rsidRPr="004F7B4C">
        <w:rPr>
          <w:rFonts w:ascii="Constantia" w:hAnsi="Constantia" w:cs="Arial"/>
          <w:sz w:val="22"/>
          <w:szCs w:val="22"/>
        </w:rPr>
        <w:t xml:space="preserve">, </w:t>
      </w:r>
      <w:r w:rsidR="00D74E29" w:rsidRPr="004F7B4C">
        <w:rPr>
          <w:rFonts w:ascii="Constantia" w:hAnsi="Constantia" w:cs="Arial"/>
          <w:sz w:val="22"/>
          <w:szCs w:val="22"/>
        </w:rPr>
        <w:t>which is still in use today</w:t>
      </w:r>
      <w:r w:rsidRPr="004F7B4C">
        <w:rPr>
          <w:rFonts w:ascii="Constantia" w:hAnsi="Constantia" w:cs="Arial"/>
          <w:sz w:val="22"/>
          <w:szCs w:val="22"/>
        </w:rPr>
        <w:t xml:space="preserve">, </w:t>
      </w:r>
      <w:r w:rsidR="00A31AC4" w:rsidRPr="004F7B4C">
        <w:rPr>
          <w:rFonts w:ascii="Constantia" w:hAnsi="Constantia" w:cs="Arial"/>
          <w:sz w:val="22"/>
          <w:szCs w:val="22"/>
        </w:rPr>
        <w:t xml:space="preserve">and </w:t>
      </w:r>
      <w:r w:rsidRPr="004F7B4C">
        <w:rPr>
          <w:rFonts w:ascii="Constantia" w:hAnsi="Constantia" w:cs="Arial"/>
          <w:sz w:val="22"/>
          <w:szCs w:val="22"/>
        </w:rPr>
        <w:t>the archit</w:t>
      </w:r>
      <w:r w:rsidR="000034CA" w:rsidRPr="004F7B4C">
        <w:rPr>
          <w:rFonts w:ascii="Constantia" w:hAnsi="Constantia" w:cs="Arial"/>
          <w:sz w:val="22"/>
          <w:szCs w:val="22"/>
        </w:rPr>
        <w:t>ectural</w:t>
      </w:r>
      <w:r w:rsidRPr="004F7B4C">
        <w:rPr>
          <w:rFonts w:ascii="Constantia" w:hAnsi="Constantia" w:cs="Arial"/>
          <w:sz w:val="22"/>
          <w:szCs w:val="22"/>
        </w:rPr>
        <w:t xml:space="preserve"> approach </w:t>
      </w:r>
      <w:r w:rsidR="004D4B7B" w:rsidRPr="004F7B4C">
        <w:rPr>
          <w:rFonts w:ascii="Constantia" w:hAnsi="Constantia" w:cs="Arial"/>
          <w:sz w:val="22"/>
          <w:szCs w:val="22"/>
        </w:rPr>
        <w:t>to plan form and detailed design</w:t>
      </w:r>
      <w:r w:rsidR="00302475" w:rsidRPr="004F7B4C">
        <w:rPr>
          <w:rFonts w:ascii="Constantia" w:hAnsi="Constantia" w:cs="Arial"/>
          <w:sz w:val="22"/>
          <w:szCs w:val="22"/>
        </w:rPr>
        <w:t xml:space="preserve"> it exhibits</w:t>
      </w:r>
      <w:r w:rsidR="004D4B7B" w:rsidRPr="004F7B4C">
        <w:rPr>
          <w:rFonts w:ascii="Constantia" w:hAnsi="Constantia" w:cs="Arial"/>
          <w:sz w:val="22"/>
          <w:szCs w:val="22"/>
        </w:rPr>
        <w:t>.</w:t>
      </w:r>
    </w:p>
    <w:p w14:paraId="17DA727E" w14:textId="77777777" w:rsidR="006A1EB5" w:rsidRPr="004F7B4C" w:rsidRDefault="006A1EB5" w:rsidP="00D022CF">
      <w:pPr>
        <w:spacing w:line="276" w:lineRule="auto"/>
        <w:rPr>
          <w:rFonts w:ascii="Constantia" w:hAnsi="Constantia" w:cs="Arial"/>
          <w:sz w:val="22"/>
          <w:szCs w:val="22"/>
        </w:rPr>
      </w:pPr>
    </w:p>
    <w:p w14:paraId="37DBE393" w14:textId="27A8C4F7" w:rsidR="006A1EB5" w:rsidRPr="004F7B4C" w:rsidRDefault="006A1EB5" w:rsidP="00D022CF">
      <w:pPr>
        <w:spacing w:line="276" w:lineRule="auto"/>
        <w:rPr>
          <w:rFonts w:ascii="Constantia" w:hAnsi="Constantia" w:cs="Arial"/>
          <w:sz w:val="22"/>
          <w:szCs w:val="22"/>
        </w:rPr>
      </w:pPr>
      <w:r w:rsidRPr="004F7B4C">
        <w:rPr>
          <w:rFonts w:ascii="Constantia" w:hAnsi="Constantia" w:cs="Arial"/>
          <w:sz w:val="22"/>
          <w:szCs w:val="22"/>
        </w:rPr>
        <w:t>There is an assessment of the effects on heritage assets at page 18</w:t>
      </w:r>
      <w:r w:rsidR="002C7646" w:rsidRPr="004F7B4C">
        <w:rPr>
          <w:rFonts w:ascii="Constantia" w:hAnsi="Constantia" w:cs="Arial"/>
          <w:sz w:val="22"/>
          <w:szCs w:val="22"/>
        </w:rPr>
        <w:t xml:space="preserve"> of the THVIA</w:t>
      </w:r>
      <w:r w:rsidRPr="004F7B4C">
        <w:rPr>
          <w:rFonts w:ascii="Constantia" w:hAnsi="Constantia" w:cs="Arial"/>
          <w:sz w:val="22"/>
          <w:szCs w:val="22"/>
        </w:rPr>
        <w:t xml:space="preserve">, undertaken in line with </w:t>
      </w:r>
      <w:r w:rsidR="00AA1709" w:rsidRPr="004F7B4C">
        <w:rPr>
          <w:rFonts w:ascii="Constantia" w:hAnsi="Constantia" w:cs="Arial"/>
          <w:sz w:val="22"/>
          <w:szCs w:val="22"/>
        </w:rPr>
        <w:t xml:space="preserve">the </w:t>
      </w:r>
      <w:r w:rsidRPr="004F7B4C">
        <w:rPr>
          <w:rFonts w:ascii="Constantia" w:hAnsi="Constantia" w:cs="Arial"/>
          <w:sz w:val="22"/>
          <w:szCs w:val="22"/>
        </w:rPr>
        <w:t xml:space="preserve">methodology at </w:t>
      </w:r>
      <w:r w:rsidR="00421520" w:rsidRPr="004F7B4C">
        <w:rPr>
          <w:rFonts w:ascii="Constantia" w:hAnsi="Constantia" w:cs="Arial"/>
          <w:sz w:val="22"/>
          <w:szCs w:val="22"/>
        </w:rPr>
        <w:t>A</w:t>
      </w:r>
      <w:r w:rsidRPr="004F7B4C">
        <w:rPr>
          <w:rFonts w:ascii="Constantia" w:hAnsi="Constantia" w:cs="Arial"/>
          <w:sz w:val="22"/>
          <w:szCs w:val="22"/>
        </w:rPr>
        <w:t xml:space="preserve">ppendix B, which we elaborate on below. </w:t>
      </w:r>
    </w:p>
    <w:p w14:paraId="084A00A6" w14:textId="77777777" w:rsidR="005F76D5" w:rsidRPr="004F7B4C" w:rsidRDefault="005F76D5" w:rsidP="00D022CF">
      <w:pPr>
        <w:pStyle w:val="NormalWeb"/>
        <w:spacing w:before="0" w:beforeAutospacing="0" w:after="0" w:afterAutospacing="0" w:line="276" w:lineRule="auto"/>
        <w:rPr>
          <w:rFonts w:ascii="Constantia" w:hAnsi="Constantia" w:cs="Arial"/>
        </w:rPr>
      </w:pPr>
    </w:p>
    <w:p w14:paraId="09B64404" w14:textId="58042348" w:rsidR="006A1EB5" w:rsidRPr="004F7B4C" w:rsidRDefault="006A1EB5" w:rsidP="00D022CF">
      <w:pPr>
        <w:pStyle w:val="NormalWeb"/>
        <w:spacing w:before="0" w:beforeAutospacing="0" w:after="0" w:afterAutospacing="0" w:line="276" w:lineRule="auto"/>
        <w:rPr>
          <w:rFonts w:ascii="Constantia" w:hAnsi="Constantia" w:cs="Arial"/>
        </w:rPr>
      </w:pPr>
      <w:r w:rsidRPr="004F7B4C">
        <w:rPr>
          <w:rFonts w:ascii="Constantia" w:hAnsi="Constantia" w:cs="Arial"/>
        </w:rPr>
        <w:t xml:space="preserve">The effects of the Proposed Development on heritage assets are limited to those heritage assets close to the Site including the New River, the East and West Reservoirs Conservation Area (A), </w:t>
      </w:r>
      <w:r w:rsidR="00655BF3" w:rsidRPr="004F7B4C">
        <w:rPr>
          <w:rFonts w:ascii="Constantia" w:hAnsi="Constantia" w:cs="Arial"/>
        </w:rPr>
        <w:t xml:space="preserve">the </w:t>
      </w:r>
      <w:r w:rsidRPr="004F7B4C">
        <w:rPr>
          <w:rFonts w:ascii="Constantia" w:hAnsi="Constantia" w:cs="Arial"/>
        </w:rPr>
        <w:t xml:space="preserve">grade II listed Woodberry Down Community JMI School (1), the locally listed former Maynard's Sweet Factory Vale Road (10), 100 Amhurst Park (20) and Woodberry Down Baptist Church, Seven Sisters Road (11). </w:t>
      </w:r>
    </w:p>
    <w:p w14:paraId="173F6F7D" w14:textId="77777777" w:rsidR="005F76D5" w:rsidRPr="004F7B4C" w:rsidRDefault="005F76D5" w:rsidP="00D022CF">
      <w:pPr>
        <w:pStyle w:val="NormalWeb"/>
        <w:spacing w:before="0" w:beforeAutospacing="0" w:after="0" w:afterAutospacing="0" w:line="276" w:lineRule="auto"/>
        <w:rPr>
          <w:rFonts w:ascii="Constantia" w:hAnsi="Constantia" w:cs="Arial"/>
        </w:rPr>
      </w:pPr>
    </w:p>
    <w:p w14:paraId="305BF71D" w14:textId="3A2C7376" w:rsidR="006A1EB5" w:rsidRPr="004F7B4C" w:rsidRDefault="006A1EB5" w:rsidP="00D022CF">
      <w:pPr>
        <w:pStyle w:val="NormalWeb"/>
        <w:spacing w:before="0" w:beforeAutospacing="0" w:after="0" w:afterAutospacing="0" w:line="276" w:lineRule="auto"/>
        <w:rPr>
          <w:rFonts w:ascii="Constantia" w:hAnsi="Constantia" w:cs="Arial"/>
        </w:rPr>
      </w:pPr>
      <w:r w:rsidRPr="004F7B4C">
        <w:rPr>
          <w:rFonts w:ascii="Constantia" w:hAnsi="Constantia" w:cs="Arial"/>
        </w:rPr>
        <w:t xml:space="preserve">The setting of the </w:t>
      </w:r>
      <w:r w:rsidR="002C7646" w:rsidRPr="004F7B4C">
        <w:rPr>
          <w:rFonts w:ascii="Constantia" w:hAnsi="Constantia" w:cs="Arial"/>
        </w:rPr>
        <w:t xml:space="preserve">New River, the East and West Reservoirs Conservation Area (A) </w:t>
      </w:r>
      <w:r w:rsidRPr="004F7B4C">
        <w:rPr>
          <w:rFonts w:ascii="Constantia" w:hAnsi="Constantia" w:cs="Arial"/>
        </w:rPr>
        <w:t xml:space="preserve">comprises a number of large scale interwar, post-war and more recent residential developments, including the Woodberry Down estate which sits between the reservoirs and the New River and includes a number of tall buildings. </w:t>
      </w:r>
      <w:r w:rsidR="00EB5FED" w:rsidRPr="004F7B4C">
        <w:rPr>
          <w:rFonts w:ascii="Constantia" w:hAnsi="Constantia" w:cs="Arial"/>
        </w:rPr>
        <w:t xml:space="preserve">The Proposed Development will not be visible from the main body of the </w:t>
      </w:r>
      <w:r w:rsidR="002C7646" w:rsidRPr="004F7B4C">
        <w:rPr>
          <w:rFonts w:ascii="Constantia" w:hAnsi="Constantia" w:cs="Arial"/>
        </w:rPr>
        <w:t>conservation area</w:t>
      </w:r>
      <w:r w:rsidR="00EB5FED" w:rsidRPr="004F7B4C">
        <w:rPr>
          <w:rFonts w:ascii="Constantia" w:hAnsi="Constantia" w:cs="Arial"/>
        </w:rPr>
        <w:t xml:space="preserve"> (where the listed buildings are located) and visibility will be limited to </w:t>
      </w:r>
      <w:r w:rsidR="00FC3113" w:rsidRPr="004F7B4C">
        <w:rPr>
          <w:rFonts w:ascii="Constantia" w:hAnsi="Constantia" w:cs="Arial"/>
        </w:rPr>
        <w:t>views</w:t>
      </w:r>
      <w:r w:rsidR="00EB5FED" w:rsidRPr="004F7B4C">
        <w:rPr>
          <w:rFonts w:ascii="Constantia" w:hAnsi="Constantia" w:cs="Arial"/>
        </w:rPr>
        <w:t xml:space="preserve"> from the footpath along the New River. </w:t>
      </w:r>
      <w:r w:rsidR="00421520" w:rsidRPr="004F7B4C">
        <w:rPr>
          <w:rFonts w:ascii="Constantia" w:hAnsi="Constantia" w:cs="Arial"/>
        </w:rPr>
        <w:t xml:space="preserve">North of the New River is the Site which </w:t>
      </w:r>
      <w:r w:rsidR="00421520" w:rsidRPr="004F7B4C">
        <w:rPr>
          <w:rFonts w:ascii="Constantia" w:hAnsi="Constantia" w:cs="Arial"/>
        </w:rPr>
        <w:lastRenderedPageBreak/>
        <w:t xml:space="preserve">forms part of the industrial development along Eade Road. </w:t>
      </w:r>
      <w:r w:rsidRPr="004F7B4C">
        <w:rPr>
          <w:rFonts w:ascii="Constantia" w:hAnsi="Constantia" w:cs="Arial"/>
        </w:rPr>
        <w:t xml:space="preserve">In its present condition </w:t>
      </w:r>
      <w:r w:rsidR="00FC3113" w:rsidRPr="004F7B4C">
        <w:rPr>
          <w:rFonts w:ascii="Constantia" w:hAnsi="Constantia" w:cs="Arial"/>
        </w:rPr>
        <w:t>the Site</w:t>
      </w:r>
      <w:r w:rsidRPr="004F7B4C">
        <w:rPr>
          <w:rFonts w:ascii="Constantia" w:hAnsi="Constantia" w:cs="Arial"/>
        </w:rPr>
        <w:t xml:space="preserve"> does not contribute any element of setting that contributes to the significance of the conservation area and the Proposed Development, of a high quality of design</w:t>
      </w:r>
      <w:r w:rsidR="00421520" w:rsidRPr="004F7B4C">
        <w:rPr>
          <w:rFonts w:ascii="Constantia" w:hAnsi="Constantia" w:cs="Arial"/>
        </w:rPr>
        <w:t>,</w:t>
      </w:r>
      <w:r w:rsidRPr="004F7B4C">
        <w:rPr>
          <w:rFonts w:ascii="Constantia" w:hAnsi="Constantia" w:cs="Arial"/>
        </w:rPr>
        <w:t xml:space="preserve"> and modest scale compared to recent nearby development at the Woodberry Down Estate, will complement the </w:t>
      </w:r>
      <w:r w:rsidR="00421520" w:rsidRPr="004F7B4C">
        <w:rPr>
          <w:rFonts w:ascii="Constantia" w:hAnsi="Constantia" w:cs="Arial"/>
        </w:rPr>
        <w:t xml:space="preserve">townscape of the </w:t>
      </w:r>
      <w:r w:rsidRPr="004F7B4C">
        <w:rPr>
          <w:rFonts w:ascii="Constantia" w:hAnsi="Constantia" w:cs="Arial"/>
        </w:rPr>
        <w:t xml:space="preserve">wider </w:t>
      </w:r>
      <w:r w:rsidR="00421520" w:rsidRPr="004F7B4C">
        <w:rPr>
          <w:rFonts w:ascii="Constantia" w:hAnsi="Constantia" w:cs="Arial"/>
        </w:rPr>
        <w:t>area</w:t>
      </w:r>
      <w:r w:rsidR="00EC25AA" w:rsidRPr="004F7B4C">
        <w:rPr>
          <w:rFonts w:ascii="Constantia" w:hAnsi="Constantia" w:cs="Arial"/>
        </w:rPr>
        <w:t xml:space="preserve"> which is undergoing </w:t>
      </w:r>
      <w:r w:rsidRPr="004F7B4C">
        <w:rPr>
          <w:rFonts w:ascii="Constantia" w:hAnsi="Constantia" w:cs="Arial"/>
        </w:rPr>
        <w:t>regeneration.</w:t>
      </w:r>
    </w:p>
    <w:p w14:paraId="74DBA8C7" w14:textId="77777777" w:rsidR="005F76D5" w:rsidRPr="004F7B4C" w:rsidRDefault="005F76D5" w:rsidP="00D022CF">
      <w:pPr>
        <w:pStyle w:val="NormalWeb"/>
        <w:spacing w:before="0" w:beforeAutospacing="0" w:after="0" w:afterAutospacing="0" w:line="276" w:lineRule="auto"/>
        <w:rPr>
          <w:rFonts w:ascii="Constantia" w:hAnsi="Constantia" w:cs="Arial"/>
        </w:rPr>
      </w:pPr>
    </w:p>
    <w:p w14:paraId="5323ED13" w14:textId="0DCED1C0" w:rsidR="006A1EB5" w:rsidRPr="004F7B4C" w:rsidRDefault="006A1EB5" w:rsidP="00D022CF">
      <w:pPr>
        <w:pStyle w:val="NormalWeb"/>
        <w:spacing w:before="0" w:beforeAutospacing="0" w:after="0" w:afterAutospacing="0" w:line="276" w:lineRule="auto"/>
        <w:rPr>
          <w:rFonts w:ascii="Constantia" w:hAnsi="Constantia" w:cs="Arial"/>
        </w:rPr>
      </w:pPr>
      <w:r w:rsidRPr="004F7B4C">
        <w:rPr>
          <w:rFonts w:ascii="Constantia" w:hAnsi="Constantia" w:cs="Arial"/>
        </w:rPr>
        <w:t>The setting of the grade II listed Woodberry Down Community JMI School (1) comprises The New River, the East and West Reservoirs Conservation Area to the north, the recent Skinner’s’ Academy to the west and the Woodberry Down Park estate to the south, which is undergoing significant regeneration. Within this wider context of change</w:t>
      </w:r>
      <w:r w:rsidR="00594255" w:rsidRPr="004F7B4C">
        <w:rPr>
          <w:rFonts w:ascii="Constantia" w:hAnsi="Constantia" w:cs="Arial"/>
        </w:rPr>
        <w:t>,</w:t>
      </w:r>
      <w:r w:rsidRPr="004F7B4C">
        <w:rPr>
          <w:rFonts w:ascii="Constantia" w:hAnsi="Constantia" w:cs="Arial"/>
        </w:rPr>
        <w:t xml:space="preserve"> and the post-war industrial character of the area around the Site, with post-war residential towers </w:t>
      </w:r>
      <w:r w:rsidR="00594255" w:rsidRPr="004F7B4C">
        <w:rPr>
          <w:rFonts w:ascii="Constantia" w:hAnsi="Constantia" w:cs="Arial"/>
        </w:rPr>
        <w:t xml:space="preserve">to the north </w:t>
      </w:r>
      <w:r w:rsidRPr="004F7B4C">
        <w:rPr>
          <w:rFonts w:ascii="Constantia" w:hAnsi="Constantia" w:cs="Arial"/>
        </w:rPr>
        <w:t>beyond, the Proposed Development will simply appear as part of the surrounding context of varied townscape character.</w:t>
      </w:r>
    </w:p>
    <w:p w14:paraId="53D08FFB" w14:textId="77777777" w:rsidR="005F76D5" w:rsidRPr="004F7B4C" w:rsidRDefault="005F76D5" w:rsidP="00D022CF">
      <w:pPr>
        <w:pStyle w:val="NormalWeb"/>
        <w:spacing w:before="0" w:beforeAutospacing="0" w:after="0" w:afterAutospacing="0" w:line="276" w:lineRule="auto"/>
        <w:rPr>
          <w:rFonts w:ascii="Constantia" w:hAnsi="Constantia" w:cs="Arial"/>
        </w:rPr>
      </w:pPr>
    </w:p>
    <w:p w14:paraId="244ACE11" w14:textId="4057A993" w:rsidR="006A1EB5" w:rsidRPr="004F7B4C" w:rsidRDefault="006A1EB5" w:rsidP="00D022CF">
      <w:pPr>
        <w:pStyle w:val="NormalWeb"/>
        <w:spacing w:before="0" w:beforeAutospacing="0" w:after="0" w:afterAutospacing="0" w:line="276" w:lineRule="auto"/>
        <w:rPr>
          <w:rFonts w:ascii="Constantia" w:hAnsi="Constantia" w:cs="Arial"/>
        </w:rPr>
      </w:pPr>
      <w:r w:rsidRPr="004F7B4C">
        <w:rPr>
          <w:rFonts w:ascii="Constantia" w:hAnsi="Constantia" w:cs="Arial"/>
        </w:rPr>
        <w:t>The setting of the locally listed former Maynard's Sweet Factory Vale Road (10), which lies in an industrial area</w:t>
      </w:r>
      <w:r w:rsidR="001A07BE" w:rsidRPr="004F7B4C">
        <w:rPr>
          <w:rFonts w:ascii="Constantia" w:hAnsi="Constantia" w:cs="Arial"/>
        </w:rPr>
        <w:t>,</w:t>
      </w:r>
      <w:r w:rsidRPr="004F7B4C">
        <w:rPr>
          <w:rFonts w:ascii="Constantia" w:hAnsi="Constantia" w:cs="Arial"/>
        </w:rPr>
        <w:t xml:space="preserve"> is not sensitive to change</w:t>
      </w:r>
      <w:r w:rsidR="00594255" w:rsidRPr="004F7B4C">
        <w:rPr>
          <w:rFonts w:ascii="Constantia" w:hAnsi="Constantia" w:cs="Arial"/>
        </w:rPr>
        <w:t xml:space="preserve">. </w:t>
      </w:r>
      <w:r w:rsidRPr="004F7B4C">
        <w:rPr>
          <w:rFonts w:ascii="Constantia" w:hAnsi="Constantia" w:cs="Arial"/>
        </w:rPr>
        <w:t>In its present condition the Site does not contribute any element of setting that contributes to the significance of this non designated heritage asset</w:t>
      </w:r>
      <w:r w:rsidR="009E71F4" w:rsidRPr="004F7B4C">
        <w:rPr>
          <w:rFonts w:ascii="Constantia" w:hAnsi="Constantia" w:cs="Arial"/>
        </w:rPr>
        <w:t>. T</w:t>
      </w:r>
      <w:r w:rsidR="00594255" w:rsidRPr="004F7B4C">
        <w:rPr>
          <w:rFonts w:ascii="Constantia" w:hAnsi="Constantia" w:cs="Arial"/>
        </w:rPr>
        <w:t xml:space="preserve">he chimney will remain visible in views from the New River, the East and West Reservoirs Conservation Area to the south </w:t>
      </w:r>
      <w:r w:rsidRPr="004F7B4C">
        <w:rPr>
          <w:rFonts w:ascii="Constantia" w:hAnsi="Constantia" w:cs="Arial"/>
        </w:rPr>
        <w:t xml:space="preserve">and the Proposed Development, of a high quality of design and modest scale compared to recent nearby development at the Woodberry Down Estate, will complement </w:t>
      </w:r>
      <w:r w:rsidR="00EC25AA" w:rsidRPr="004F7B4C">
        <w:rPr>
          <w:rFonts w:ascii="Constantia" w:hAnsi="Constantia" w:cs="Arial"/>
        </w:rPr>
        <w:t>the townscape of the wider area which is undergoing regeneration.</w:t>
      </w:r>
    </w:p>
    <w:p w14:paraId="077BF24D" w14:textId="77777777" w:rsidR="009E71F4" w:rsidRPr="004F7B4C" w:rsidRDefault="009E71F4" w:rsidP="00D022CF">
      <w:pPr>
        <w:pStyle w:val="NormalWeb"/>
        <w:spacing w:before="0" w:beforeAutospacing="0" w:after="0" w:afterAutospacing="0" w:line="276" w:lineRule="auto"/>
        <w:rPr>
          <w:rFonts w:ascii="Constantia" w:hAnsi="Constantia" w:cs="Arial"/>
        </w:rPr>
      </w:pPr>
    </w:p>
    <w:p w14:paraId="0453F352" w14:textId="495FBED8" w:rsidR="005F76D5" w:rsidRPr="004F7B4C" w:rsidRDefault="006A1EB5" w:rsidP="00D022CF">
      <w:pPr>
        <w:pStyle w:val="NormalWeb"/>
        <w:spacing w:before="0" w:beforeAutospacing="0" w:after="0" w:afterAutospacing="0" w:line="276" w:lineRule="auto"/>
        <w:rPr>
          <w:rFonts w:ascii="Constantia" w:hAnsi="Constantia" w:cs="Arial"/>
        </w:rPr>
      </w:pPr>
      <w:r w:rsidRPr="004F7B4C">
        <w:rPr>
          <w:rFonts w:ascii="Constantia" w:hAnsi="Constantia" w:cs="Arial"/>
        </w:rPr>
        <w:t>100 Amhurst Park (20) and Woodberry Down Baptist Church, Seven Sisters Road (11) both have localised settings on their respective roads to which the Site does not contribute any element of setting that contributes to the significance of these non designated heritage asset. Whilst the Proposed Development will be seen in views along Vartry Road (as seen in representative view 4) and along Seven Sisters Road, (as seen in representative view 3), so are the towers at the Woodberry Down Estate</w:t>
      </w:r>
      <w:r w:rsidR="001A07BE" w:rsidRPr="004F7B4C">
        <w:rPr>
          <w:rFonts w:ascii="Constantia" w:hAnsi="Constantia" w:cs="Arial"/>
        </w:rPr>
        <w:t>,</w:t>
      </w:r>
      <w:r w:rsidRPr="004F7B4C">
        <w:rPr>
          <w:rFonts w:ascii="Constantia" w:hAnsi="Constantia" w:cs="Arial"/>
        </w:rPr>
        <w:t xml:space="preserve"> and </w:t>
      </w:r>
      <w:r w:rsidR="001A07BE" w:rsidRPr="004F7B4C">
        <w:rPr>
          <w:rFonts w:ascii="Constantia" w:hAnsi="Constantia" w:cs="Arial"/>
        </w:rPr>
        <w:t>views of it</w:t>
      </w:r>
      <w:r w:rsidRPr="004F7B4C">
        <w:rPr>
          <w:rFonts w:ascii="Constantia" w:hAnsi="Constantia" w:cs="Arial"/>
        </w:rPr>
        <w:t xml:space="preserve"> will be in keeping with the existing local townscape character. The Proposed Development, of a high quality of design and modest scale compared to recent nearby development at the Woodberry Down Estate, will complement this character and the wider </w:t>
      </w:r>
      <w:r w:rsidR="00EC25AA" w:rsidRPr="004F7B4C">
        <w:rPr>
          <w:rFonts w:ascii="Constantia" w:hAnsi="Constantia" w:cs="Arial"/>
        </w:rPr>
        <w:t>area which is undergoing regeneration.</w:t>
      </w:r>
    </w:p>
    <w:p w14:paraId="12CFFC56" w14:textId="77777777" w:rsidR="00EC25AA" w:rsidRPr="004F7B4C" w:rsidRDefault="00EC25AA" w:rsidP="00D022CF">
      <w:pPr>
        <w:pStyle w:val="NormalWeb"/>
        <w:spacing w:before="0" w:beforeAutospacing="0" w:after="0" w:afterAutospacing="0" w:line="276" w:lineRule="auto"/>
        <w:rPr>
          <w:rFonts w:ascii="Constantia" w:hAnsi="Constantia" w:cs="Arial"/>
        </w:rPr>
      </w:pPr>
    </w:p>
    <w:p w14:paraId="20429DAB" w14:textId="1F0D72DF" w:rsidR="006A1EB5" w:rsidRPr="004F7B4C" w:rsidRDefault="009E71F4" w:rsidP="00D022CF">
      <w:pPr>
        <w:pStyle w:val="NormalWeb"/>
        <w:spacing w:before="0" w:beforeAutospacing="0" w:after="0" w:afterAutospacing="0" w:line="276" w:lineRule="auto"/>
        <w:rPr>
          <w:rFonts w:ascii="Constantia" w:hAnsi="Constantia" w:cs="Arial"/>
        </w:rPr>
      </w:pPr>
      <w:r w:rsidRPr="004F7B4C">
        <w:rPr>
          <w:rFonts w:ascii="Constantia" w:hAnsi="Constantia" w:cs="Arial"/>
        </w:rPr>
        <w:t>A</w:t>
      </w:r>
      <w:r w:rsidR="00525DC2" w:rsidRPr="004F7B4C">
        <w:rPr>
          <w:rFonts w:ascii="Constantia" w:hAnsi="Constantia" w:cs="Arial"/>
        </w:rPr>
        <w:t>s</w:t>
      </w:r>
      <w:r w:rsidRPr="004F7B4C">
        <w:rPr>
          <w:rFonts w:ascii="Constantia" w:hAnsi="Constantia" w:cs="Arial"/>
        </w:rPr>
        <w:t xml:space="preserve"> set out at page 18 of the THVIA</w:t>
      </w:r>
      <w:r w:rsidR="009C178A" w:rsidRPr="004F7B4C">
        <w:rPr>
          <w:rFonts w:ascii="Constantia" w:hAnsi="Constantia" w:cs="Arial"/>
        </w:rPr>
        <w:t xml:space="preserve"> , i</w:t>
      </w:r>
      <w:r w:rsidR="006A1EB5" w:rsidRPr="004F7B4C">
        <w:rPr>
          <w:rFonts w:ascii="Constantia" w:hAnsi="Constantia" w:cs="Arial"/>
        </w:rPr>
        <w:t>n all cases the magnitude of change would be low to medium due to the nature of the existing townscape context and the relatively modest nature of the Proposed Development compared to other post</w:t>
      </w:r>
      <w:r w:rsidR="001A07BE" w:rsidRPr="004F7B4C">
        <w:rPr>
          <w:rFonts w:ascii="Constantia" w:hAnsi="Constantia" w:cs="Arial"/>
        </w:rPr>
        <w:t>-</w:t>
      </w:r>
      <w:r w:rsidR="006A1EB5" w:rsidRPr="004F7B4C">
        <w:rPr>
          <w:rFonts w:ascii="Constantia" w:hAnsi="Constantia" w:cs="Arial"/>
        </w:rPr>
        <w:t>wa</w:t>
      </w:r>
      <w:r w:rsidR="001A07BE" w:rsidRPr="004F7B4C">
        <w:rPr>
          <w:rFonts w:ascii="Constantia" w:hAnsi="Constantia" w:cs="Arial"/>
        </w:rPr>
        <w:t>r</w:t>
      </w:r>
      <w:r w:rsidR="006A1EB5" w:rsidRPr="004F7B4C">
        <w:rPr>
          <w:rFonts w:ascii="Constantia" w:hAnsi="Constantia" w:cs="Arial"/>
        </w:rPr>
        <w:t>, recent and emerging tow</w:t>
      </w:r>
      <w:r w:rsidR="001A07BE" w:rsidRPr="004F7B4C">
        <w:rPr>
          <w:rFonts w:ascii="Constantia" w:hAnsi="Constantia" w:cs="Arial"/>
        </w:rPr>
        <w:t>er</w:t>
      </w:r>
      <w:r w:rsidR="006A1EB5" w:rsidRPr="004F7B4C">
        <w:rPr>
          <w:rFonts w:ascii="Constantia" w:hAnsi="Constantia" w:cs="Arial"/>
        </w:rPr>
        <w:t xml:space="preserve">s in the area. </w:t>
      </w:r>
      <w:r w:rsidR="00786B38" w:rsidRPr="004F7B4C">
        <w:rPr>
          <w:rFonts w:ascii="Constantia" w:hAnsi="Constantia" w:cs="Arial"/>
        </w:rPr>
        <w:t xml:space="preserve">Whilst the Proposed Development will be seen in views where the current development on Site is not visible, or less noticeable, it is of significantly greater architectural quality and will be a positive addition locally. </w:t>
      </w:r>
      <w:r w:rsidR="006A1EB5" w:rsidRPr="004F7B4C">
        <w:rPr>
          <w:rFonts w:ascii="Constantia" w:hAnsi="Constantia" w:cs="Arial"/>
        </w:rPr>
        <w:t xml:space="preserve">The Proposed Development would be visible in views of or from these heritage assets but </w:t>
      </w:r>
      <w:r w:rsidR="00786B38" w:rsidRPr="004F7B4C">
        <w:rPr>
          <w:rFonts w:ascii="Constantia" w:hAnsi="Constantia" w:cs="Arial"/>
        </w:rPr>
        <w:t>on balance neither harm nor better reveal the significance of the heritage assets</w:t>
      </w:r>
      <w:r w:rsidR="004B442A" w:rsidRPr="004F7B4C">
        <w:rPr>
          <w:rFonts w:ascii="Constantia" w:hAnsi="Constantia" w:cs="Arial"/>
        </w:rPr>
        <w:t xml:space="preserve"> and</w:t>
      </w:r>
      <w:r w:rsidR="00786B38" w:rsidRPr="004F7B4C">
        <w:rPr>
          <w:rFonts w:ascii="Constantia" w:hAnsi="Constantia" w:cs="Arial"/>
        </w:rPr>
        <w:t xml:space="preserve"> </w:t>
      </w:r>
      <w:r w:rsidR="006A1EB5" w:rsidRPr="004F7B4C">
        <w:rPr>
          <w:rFonts w:ascii="Constantia" w:hAnsi="Constantia" w:cs="Arial"/>
        </w:rPr>
        <w:t>there would be no effect on any elements of setting that contributes to their significance</w:t>
      </w:r>
      <w:r w:rsidR="00AE32EF" w:rsidRPr="004F7B4C">
        <w:rPr>
          <w:rFonts w:ascii="Constantia" w:hAnsi="Constantia" w:cs="Arial"/>
        </w:rPr>
        <w:t>.</w:t>
      </w:r>
    </w:p>
    <w:p w14:paraId="77F45D37" w14:textId="77777777" w:rsidR="005F76D5" w:rsidRPr="004F7B4C" w:rsidRDefault="005F76D5" w:rsidP="00D022CF">
      <w:pPr>
        <w:pStyle w:val="NormalWeb"/>
        <w:spacing w:before="0" w:beforeAutospacing="0" w:after="0" w:afterAutospacing="0" w:line="276" w:lineRule="auto"/>
        <w:rPr>
          <w:rFonts w:ascii="Constantia" w:hAnsi="Constantia" w:cs="Arial"/>
        </w:rPr>
      </w:pPr>
    </w:p>
    <w:p w14:paraId="36A75C99" w14:textId="10DFE22C" w:rsidR="006A1EB5" w:rsidRPr="00425736" w:rsidRDefault="006A1EB5" w:rsidP="00D022CF">
      <w:pPr>
        <w:pStyle w:val="NormalWeb"/>
        <w:spacing w:before="0" w:beforeAutospacing="0" w:after="0" w:afterAutospacing="0" w:line="276" w:lineRule="auto"/>
        <w:rPr>
          <w:rFonts w:ascii="Constantia" w:hAnsi="Constantia" w:cs="Arial"/>
        </w:rPr>
      </w:pPr>
      <w:r w:rsidRPr="004F7B4C">
        <w:rPr>
          <w:rFonts w:ascii="Constantia" w:hAnsi="Constantia" w:cs="Arial"/>
        </w:rPr>
        <w:t xml:space="preserve">The effect would be moderate to minor and neutral for designated heritage assets, and minor and neutral for locally listed buildings, as summarised in </w:t>
      </w:r>
      <w:r w:rsidRPr="004F7B4C">
        <w:rPr>
          <w:rFonts w:ascii="Constantia" w:hAnsi="Constantia" w:cs="Arial"/>
          <w:b/>
          <w:bCs/>
        </w:rPr>
        <w:t>Table 4.2</w:t>
      </w:r>
      <w:r w:rsidRPr="004F7B4C">
        <w:rPr>
          <w:rFonts w:ascii="Constantia" w:hAnsi="Constantia" w:cs="Arial"/>
        </w:rPr>
        <w:t>.</w:t>
      </w:r>
      <w:r w:rsidRPr="00425736">
        <w:rPr>
          <w:rFonts w:ascii="Constantia" w:hAnsi="Constantia" w:cs="Arial"/>
        </w:rPr>
        <w:t xml:space="preserve"> </w:t>
      </w:r>
    </w:p>
    <w:p w14:paraId="1268D48D" w14:textId="77777777" w:rsidR="005F76D5" w:rsidRPr="00425736" w:rsidRDefault="005F76D5" w:rsidP="00D022CF">
      <w:pPr>
        <w:pStyle w:val="NormalWeb"/>
        <w:spacing w:before="0" w:beforeAutospacing="0" w:after="0" w:afterAutospacing="0" w:line="276" w:lineRule="auto"/>
        <w:rPr>
          <w:rFonts w:ascii="Constantia" w:hAnsi="Constantia" w:cs="Arial"/>
        </w:rPr>
      </w:pPr>
    </w:p>
    <w:p w14:paraId="4D982B41" w14:textId="34775D9F" w:rsidR="006A1EB5" w:rsidRPr="00425736" w:rsidRDefault="006A1EB5" w:rsidP="00D022CF">
      <w:pPr>
        <w:pStyle w:val="NormalWeb"/>
        <w:spacing w:before="0" w:beforeAutospacing="0" w:after="0" w:afterAutospacing="0" w:line="276" w:lineRule="auto"/>
        <w:rPr>
          <w:rFonts w:ascii="Constantia" w:hAnsi="Constantia" w:cs="Arial"/>
        </w:rPr>
      </w:pPr>
      <w:r w:rsidRPr="00425736">
        <w:rPr>
          <w:rFonts w:ascii="Constantia" w:hAnsi="Constantia" w:cs="Arial"/>
        </w:rPr>
        <w:t>In respect of the other heritage assets identified in the study area, both designated and non designated, the distance of the Site from these and the scale and character of the intervening townscape is such that whilst there may be some very limited glimpsed views of the Proposed Development from or in conjunction with some of these assets, there would be no effect on their settings, due to the very negligible visual</w:t>
      </w:r>
      <w:r w:rsidR="000B7B4B" w:rsidRPr="00425736">
        <w:rPr>
          <w:rFonts w:ascii="Constantia" w:hAnsi="Constantia" w:cs="Arial"/>
        </w:rPr>
        <w:t xml:space="preserve"> </w:t>
      </w:r>
      <w:r w:rsidRPr="00425736">
        <w:rPr>
          <w:rFonts w:ascii="Constantia" w:hAnsi="Constantia" w:cs="Arial"/>
        </w:rPr>
        <w:t>effects overall if any, and none that contribute to the individual assets significance.  Those associated with the reservoir, the bridge over the new reservoir (2) and Ivy House sluice (3) are utilitarian structures with localised settings, and no. 590 Seven Sister Road (12) and no. 618 Seven Sisters Road (13) have localised settings to the north-east on Seven Sisters Road. The other heritage assets all lie over 500m away in a wider are</w:t>
      </w:r>
      <w:r w:rsidR="009C2ABD" w:rsidRPr="00425736">
        <w:rPr>
          <w:rFonts w:ascii="Constantia" w:hAnsi="Constantia" w:cs="Arial"/>
        </w:rPr>
        <w:t>a</w:t>
      </w:r>
      <w:r w:rsidRPr="00425736">
        <w:rPr>
          <w:rFonts w:ascii="Constantia" w:hAnsi="Constantia" w:cs="Arial"/>
        </w:rPr>
        <w:t xml:space="preserve"> that has undergone successive phases of change from the post-war years onwards, including tall buildings, and most recently at the Woodberry Down Estate. The modest nature of the Proposed Development would not change the character of the townscape in the wider area around these assets. </w:t>
      </w:r>
    </w:p>
    <w:p w14:paraId="5BD18B75" w14:textId="77777777" w:rsidR="005F76D5" w:rsidRPr="00425736" w:rsidRDefault="005F76D5" w:rsidP="00D022CF">
      <w:pPr>
        <w:pStyle w:val="NormalWeb"/>
        <w:spacing w:before="0" w:beforeAutospacing="0" w:after="0" w:afterAutospacing="0" w:line="276" w:lineRule="auto"/>
        <w:rPr>
          <w:rFonts w:ascii="Constantia" w:hAnsi="Constantia" w:cs="Arial"/>
        </w:rPr>
      </w:pPr>
    </w:p>
    <w:p w14:paraId="22FBC155" w14:textId="1B1A523C" w:rsidR="006A1EB5" w:rsidRPr="00D022CF" w:rsidRDefault="006A1EB5" w:rsidP="00D022CF">
      <w:pPr>
        <w:pStyle w:val="NormalWeb"/>
        <w:spacing w:before="0" w:beforeAutospacing="0" w:after="0" w:afterAutospacing="0" w:line="276" w:lineRule="auto"/>
        <w:rPr>
          <w:rFonts w:ascii="Constantia" w:hAnsi="Constantia" w:cs="Arial"/>
        </w:rPr>
      </w:pPr>
      <w:r w:rsidRPr="00425736">
        <w:rPr>
          <w:rFonts w:ascii="Constantia" w:hAnsi="Constantia" w:cs="Arial"/>
        </w:rPr>
        <w:t>October 2023</w:t>
      </w:r>
    </w:p>
    <w:p w14:paraId="216ED553" w14:textId="77777777" w:rsidR="00CD0F5D" w:rsidRPr="00D022CF" w:rsidRDefault="00CD0F5D" w:rsidP="00D022CF">
      <w:pPr>
        <w:spacing w:line="276" w:lineRule="auto"/>
        <w:rPr>
          <w:rFonts w:ascii="Constantia" w:hAnsi="Constantia" w:cs="Arial"/>
          <w:sz w:val="22"/>
          <w:szCs w:val="22"/>
        </w:rPr>
      </w:pPr>
    </w:p>
    <w:sectPr w:rsidR="00CD0F5D" w:rsidRPr="00D022CF" w:rsidSect="00167A10">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Body CS)">
    <w:panose1 w:val="020B0604020202020204"/>
    <w:charset w:val="00"/>
    <w:family w:val="roman"/>
    <w:pitch w:val="default"/>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F24EE7"/>
    <w:multiLevelType w:val="multilevel"/>
    <w:tmpl w:val="5782818A"/>
    <w:lvl w:ilvl="0">
      <w:start w:val="19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9359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EB5"/>
    <w:rsid w:val="000034CA"/>
    <w:rsid w:val="00053D05"/>
    <w:rsid w:val="00070BE9"/>
    <w:rsid w:val="000B7B4B"/>
    <w:rsid w:val="00167A10"/>
    <w:rsid w:val="0018041D"/>
    <w:rsid w:val="001A07BE"/>
    <w:rsid w:val="001F6029"/>
    <w:rsid w:val="002402E7"/>
    <w:rsid w:val="002C7646"/>
    <w:rsid w:val="00302475"/>
    <w:rsid w:val="00392363"/>
    <w:rsid w:val="00396BD4"/>
    <w:rsid w:val="003D3EC7"/>
    <w:rsid w:val="00421520"/>
    <w:rsid w:val="00425736"/>
    <w:rsid w:val="00454528"/>
    <w:rsid w:val="004624F5"/>
    <w:rsid w:val="004B442A"/>
    <w:rsid w:val="004D4B7B"/>
    <w:rsid w:val="004F0A04"/>
    <w:rsid w:val="004F7B4C"/>
    <w:rsid w:val="00525DC2"/>
    <w:rsid w:val="005555E5"/>
    <w:rsid w:val="00594255"/>
    <w:rsid w:val="005F76D5"/>
    <w:rsid w:val="00625ECD"/>
    <w:rsid w:val="00655BF3"/>
    <w:rsid w:val="006702A8"/>
    <w:rsid w:val="006731B0"/>
    <w:rsid w:val="006A1EB5"/>
    <w:rsid w:val="006B1712"/>
    <w:rsid w:val="00710523"/>
    <w:rsid w:val="00722AE3"/>
    <w:rsid w:val="00773FA4"/>
    <w:rsid w:val="00786B38"/>
    <w:rsid w:val="007C661D"/>
    <w:rsid w:val="00814747"/>
    <w:rsid w:val="0086694F"/>
    <w:rsid w:val="008B7884"/>
    <w:rsid w:val="00906A1F"/>
    <w:rsid w:val="009376FF"/>
    <w:rsid w:val="009C178A"/>
    <w:rsid w:val="009C2ABD"/>
    <w:rsid w:val="009D5009"/>
    <w:rsid w:val="009E71F4"/>
    <w:rsid w:val="009E72B3"/>
    <w:rsid w:val="00A0795B"/>
    <w:rsid w:val="00A31AC4"/>
    <w:rsid w:val="00A82B41"/>
    <w:rsid w:val="00AA1709"/>
    <w:rsid w:val="00AE32EF"/>
    <w:rsid w:val="00B03F59"/>
    <w:rsid w:val="00BC0EE8"/>
    <w:rsid w:val="00BC2D0B"/>
    <w:rsid w:val="00BF1FB7"/>
    <w:rsid w:val="00C14D63"/>
    <w:rsid w:val="00CD0F5D"/>
    <w:rsid w:val="00CD28A7"/>
    <w:rsid w:val="00D022CF"/>
    <w:rsid w:val="00D46947"/>
    <w:rsid w:val="00D74E29"/>
    <w:rsid w:val="00D756B5"/>
    <w:rsid w:val="00DE5C33"/>
    <w:rsid w:val="00EA44C0"/>
    <w:rsid w:val="00EB5FED"/>
    <w:rsid w:val="00EC25AA"/>
    <w:rsid w:val="00EC55FD"/>
    <w:rsid w:val="00F27AFE"/>
    <w:rsid w:val="00F72DB9"/>
    <w:rsid w:val="00FA1E99"/>
    <w:rsid w:val="00FA758D"/>
    <w:rsid w:val="00FC31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DDA3E"/>
  <w14:defaultImageDpi w14:val="32767"/>
  <w15:chartTrackingRefBased/>
  <w15:docId w15:val="{610E853D-92A2-B444-B871-7153347B8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A1E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1EB5"/>
    <w:pPr>
      <w:spacing w:before="100" w:beforeAutospacing="1" w:after="100" w:afterAutospacing="1"/>
    </w:pPr>
    <w:rPr>
      <w:rFonts w:ascii="Calibri" w:eastAsia="Times New Roman" w:hAnsi="Calibri" w:cs="Calibri"/>
      <w:kern w:val="0"/>
      <w:sz w:val="22"/>
      <w:szCs w:val="22"/>
      <w:lang w:eastAsia="en-GB"/>
      <w14:ligatures w14:val="none"/>
    </w:rPr>
  </w:style>
  <w:style w:type="paragraph" w:styleId="Revision">
    <w:name w:val="Revision"/>
    <w:hidden/>
    <w:uiPriority w:val="99"/>
    <w:semiHidden/>
    <w:rsid w:val="00BC0EE8"/>
  </w:style>
  <w:style w:type="character" w:styleId="CommentReference">
    <w:name w:val="annotation reference"/>
    <w:basedOn w:val="DefaultParagraphFont"/>
    <w:uiPriority w:val="99"/>
    <w:semiHidden/>
    <w:unhideWhenUsed/>
    <w:rsid w:val="00BF1FB7"/>
    <w:rPr>
      <w:sz w:val="16"/>
      <w:szCs w:val="16"/>
    </w:rPr>
  </w:style>
  <w:style w:type="paragraph" w:styleId="CommentText">
    <w:name w:val="annotation text"/>
    <w:basedOn w:val="Normal"/>
    <w:link w:val="CommentTextChar"/>
    <w:uiPriority w:val="99"/>
    <w:unhideWhenUsed/>
    <w:rsid w:val="00BF1FB7"/>
    <w:rPr>
      <w:sz w:val="20"/>
      <w:szCs w:val="20"/>
    </w:rPr>
  </w:style>
  <w:style w:type="character" w:customStyle="1" w:styleId="CommentTextChar">
    <w:name w:val="Comment Text Char"/>
    <w:basedOn w:val="DefaultParagraphFont"/>
    <w:link w:val="CommentText"/>
    <w:uiPriority w:val="99"/>
    <w:rsid w:val="00BF1FB7"/>
    <w:rPr>
      <w:sz w:val="20"/>
      <w:szCs w:val="20"/>
    </w:rPr>
  </w:style>
  <w:style w:type="paragraph" w:styleId="CommentSubject">
    <w:name w:val="annotation subject"/>
    <w:basedOn w:val="CommentText"/>
    <w:next w:val="CommentText"/>
    <w:link w:val="CommentSubjectChar"/>
    <w:uiPriority w:val="99"/>
    <w:semiHidden/>
    <w:unhideWhenUsed/>
    <w:rsid w:val="00BF1FB7"/>
    <w:rPr>
      <w:b/>
      <w:bCs/>
    </w:rPr>
  </w:style>
  <w:style w:type="character" w:customStyle="1" w:styleId="CommentSubjectChar">
    <w:name w:val="Comment Subject Char"/>
    <w:basedOn w:val="CommentTextChar"/>
    <w:link w:val="CommentSubject"/>
    <w:uiPriority w:val="99"/>
    <w:semiHidden/>
    <w:rsid w:val="00BF1FB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8103270">
      <w:bodyDiv w:val="1"/>
      <w:marLeft w:val="0"/>
      <w:marRight w:val="0"/>
      <w:marTop w:val="0"/>
      <w:marBottom w:val="0"/>
      <w:divBdr>
        <w:top w:val="none" w:sz="0" w:space="0" w:color="auto"/>
        <w:left w:val="none" w:sz="0" w:space="0" w:color="auto"/>
        <w:bottom w:val="none" w:sz="0" w:space="0" w:color="auto"/>
        <w:right w:val="none" w:sz="0" w:space="0" w:color="auto"/>
      </w:divBdr>
      <w:divsChild>
        <w:div w:id="204368689">
          <w:marLeft w:val="0"/>
          <w:marRight w:val="0"/>
          <w:marTop w:val="0"/>
          <w:marBottom w:val="0"/>
          <w:divBdr>
            <w:top w:val="none" w:sz="0" w:space="0" w:color="auto"/>
            <w:left w:val="none" w:sz="0" w:space="0" w:color="auto"/>
            <w:bottom w:val="none" w:sz="0" w:space="0" w:color="auto"/>
            <w:right w:val="none" w:sz="0" w:space="0" w:color="auto"/>
          </w:divBdr>
          <w:divsChild>
            <w:div w:id="2142846463">
              <w:marLeft w:val="0"/>
              <w:marRight w:val="0"/>
              <w:marTop w:val="0"/>
              <w:marBottom w:val="0"/>
              <w:divBdr>
                <w:top w:val="none" w:sz="0" w:space="0" w:color="auto"/>
                <w:left w:val="none" w:sz="0" w:space="0" w:color="auto"/>
                <w:bottom w:val="none" w:sz="0" w:space="0" w:color="auto"/>
                <w:right w:val="none" w:sz="0" w:space="0" w:color="auto"/>
              </w:divBdr>
              <w:divsChild>
                <w:div w:id="202527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675987">
      <w:bodyDiv w:val="1"/>
      <w:marLeft w:val="0"/>
      <w:marRight w:val="0"/>
      <w:marTop w:val="0"/>
      <w:marBottom w:val="0"/>
      <w:divBdr>
        <w:top w:val="none" w:sz="0" w:space="0" w:color="auto"/>
        <w:left w:val="none" w:sz="0" w:space="0" w:color="auto"/>
        <w:bottom w:val="none" w:sz="0" w:space="0" w:color="auto"/>
        <w:right w:val="none" w:sz="0" w:space="0" w:color="auto"/>
      </w:divBdr>
      <w:divsChild>
        <w:div w:id="1024205776">
          <w:marLeft w:val="0"/>
          <w:marRight w:val="0"/>
          <w:marTop w:val="0"/>
          <w:marBottom w:val="0"/>
          <w:divBdr>
            <w:top w:val="none" w:sz="0" w:space="0" w:color="auto"/>
            <w:left w:val="none" w:sz="0" w:space="0" w:color="auto"/>
            <w:bottom w:val="none" w:sz="0" w:space="0" w:color="auto"/>
            <w:right w:val="none" w:sz="0" w:space="0" w:color="auto"/>
          </w:divBdr>
          <w:divsChild>
            <w:div w:id="601843494">
              <w:marLeft w:val="0"/>
              <w:marRight w:val="0"/>
              <w:marTop w:val="0"/>
              <w:marBottom w:val="0"/>
              <w:divBdr>
                <w:top w:val="none" w:sz="0" w:space="0" w:color="auto"/>
                <w:left w:val="none" w:sz="0" w:space="0" w:color="auto"/>
                <w:bottom w:val="none" w:sz="0" w:space="0" w:color="auto"/>
                <w:right w:val="none" w:sz="0" w:space="0" w:color="auto"/>
              </w:divBdr>
              <w:divsChild>
                <w:div w:id="136362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497906">
      <w:bodyDiv w:val="1"/>
      <w:marLeft w:val="0"/>
      <w:marRight w:val="0"/>
      <w:marTop w:val="0"/>
      <w:marBottom w:val="0"/>
      <w:divBdr>
        <w:top w:val="none" w:sz="0" w:space="0" w:color="auto"/>
        <w:left w:val="none" w:sz="0" w:space="0" w:color="auto"/>
        <w:bottom w:val="none" w:sz="0" w:space="0" w:color="auto"/>
        <w:right w:val="none" w:sz="0" w:space="0" w:color="auto"/>
      </w:divBdr>
    </w:div>
    <w:div w:id="2124179433">
      <w:bodyDiv w:val="1"/>
      <w:marLeft w:val="0"/>
      <w:marRight w:val="0"/>
      <w:marTop w:val="0"/>
      <w:marBottom w:val="0"/>
      <w:divBdr>
        <w:top w:val="none" w:sz="0" w:space="0" w:color="auto"/>
        <w:left w:val="none" w:sz="0" w:space="0" w:color="auto"/>
        <w:bottom w:val="none" w:sz="0" w:space="0" w:color="auto"/>
        <w:right w:val="none" w:sz="0" w:space="0" w:color="auto"/>
      </w:divBdr>
      <w:divsChild>
        <w:div w:id="686910948">
          <w:marLeft w:val="0"/>
          <w:marRight w:val="0"/>
          <w:marTop w:val="0"/>
          <w:marBottom w:val="0"/>
          <w:divBdr>
            <w:top w:val="none" w:sz="0" w:space="0" w:color="auto"/>
            <w:left w:val="none" w:sz="0" w:space="0" w:color="auto"/>
            <w:bottom w:val="none" w:sz="0" w:space="0" w:color="auto"/>
            <w:right w:val="none" w:sz="0" w:space="0" w:color="auto"/>
          </w:divBdr>
          <w:divsChild>
            <w:div w:id="1083602426">
              <w:marLeft w:val="0"/>
              <w:marRight w:val="0"/>
              <w:marTop w:val="0"/>
              <w:marBottom w:val="0"/>
              <w:divBdr>
                <w:top w:val="none" w:sz="0" w:space="0" w:color="auto"/>
                <w:left w:val="none" w:sz="0" w:space="0" w:color="auto"/>
                <w:bottom w:val="none" w:sz="0" w:space="0" w:color="auto"/>
                <w:right w:val="none" w:sz="0" w:space="0" w:color="auto"/>
              </w:divBdr>
              <w:divsChild>
                <w:div w:id="12185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17B9C8D8026F40B337B325FE7238EC" ma:contentTypeVersion="17" ma:contentTypeDescription="Create a new document." ma:contentTypeScope="" ma:versionID="2dea1c352c80b05b90fd2ef3d2e35104">
  <xsd:schema xmlns:xsd="http://www.w3.org/2001/XMLSchema" xmlns:xs="http://www.w3.org/2001/XMLSchema" xmlns:p="http://schemas.microsoft.com/office/2006/metadata/properties" xmlns:ns2="d2e1a2fb-2709-42ac-a178-88bba4421798" xmlns:ns3="fda45952-8b36-4d80-a7f6-167c2379ea30" targetNamespace="http://schemas.microsoft.com/office/2006/metadata/properties" ma:root="true" ma:fieldsID="47c8e8313814d954e6c3d27aa7025eda" ns2:_="" ns3:_="">
    <xsd:import namespace="d2e1a2fb-2709-42ac-a178-88bba4421798"/>
    <xsd:import namespace="fda45952-8b36-4d80-a7f6-167c2379ea3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1a2fb-2709-42ac-a178-88bba4421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f33e498-34f9-450f-9ca2-e413449cc6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a45952-8b36-4d80-a7f6-167c2379ea3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26c152f-2e32-4308-90cf-2ef25e2f1337}" ma:internalName="TaxCatchAll" ma:showField="CatchAllData" ma:web="fda45952-8b36-4d80-a7f6-167c2379ea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669FC8-85C7-431D-AA77-A0CBB0DE68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1a2fb-2709-42ac-a178-88bba4421798"/>
    <ds:schemaRef ds:uri="fda45952-8b36-4d80-a7f6-167c2379ea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39AE85-DD35-4687-A67A-D72F3F7535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3</Pages>
  <Words>1072</Words>
  <Characters>6113</Characters>
  <Application>Microsoft Office Word</Application>
  <DocSecurity>0</DocSecurity>
  <Lines>50</Lines>
  <Paragraphs>14</Paragraphs>
  <ScaleCrop>false</ScaleCrop>
  <Company/>
  <LinksUpToDate>false</LinksUpToDate>
  <CharactersWithSpaces>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Jones</dc:creator>
  <cp:keywords/>
  <dc:description/>
  <cp:lastModifiedBy>Gareth Jones</cp:lastModifiedBy>
  <cp:revision>57</cp:revision>
  <cp:lastPrinted>2023-10-31T08:03:00Z</cp:lastPrinted>
  <dcterms:created xsi:type="dcterms:W3CDTF">2023-10-30T15:39:00Z</dcterms:created>
  <dcterms:modified xsi:type="dcterms:W3CDTF">2023-10-31T10:48:00Z</dcterms:modified>
</cp:coreProperties>
</file>