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906F4" w14:textId="77777777" w:rsidR="00121064" w:rsidRPr="00121064" w:rsidRDefault="00121064" w:rsidP="00121064">
      <w:pPr>
        <w:rPr>
          <w:rFonts w:ascii="Tahoma" w:hAnsi="Tahoma" w:cs="Tahoma"/>
        </w:rPr>
      </w:pPr>
      <w:r>
        <w:rPr>
          <w:rFonts w:ascii="Tahoma" w:hAnsi="Tahoma" w:cs="Tahoma"/>
        </w:rPr>
        <w:t xml:space="preserve">The development site lies within the Highgate </w:t>
      </w:r>
      <w:r w:rsidRPr="00121064">
        <w:rPr>
          <w:rFonts w:ascii="Tahoma" w:hAnsi="Tahoma" w:cs="Tahoma"/>
        </w:rPr>
        <w:t>Conservation Area</w:t>
      </w:r>
      <w:r>
        <w:rPr>
          <w:rFonts w:ascii="Tahoma" w:hAnsi="Tahoma" w:cs="Tahoma"/>
        </w:rPr>
        <w:t xml:space="preserve">. </w:t>
      </w:r>
      <w:r w:rsidRPr="00121064">
        <w:rPr>
          <w:rFonts w:ascii="Tahoma" w:hAnsi="Tahoma" w:cs="Tahoma"/>
        </w:rPr>
        <w:t xml:space="preserve">The special interest of </w:t>
      </w:r>
      <w:bookmarkStart w:id="0" w:name="_Hlk150343823"/>
      <w:r w:rsidRPr="00121064">
        <w:rPr>
          <w:rFonts w:ascii="Tahoma" w:hAnsi="Tahoma" w:cs="Tahoma"/>
        </w:rPr>
        <w:t>Highgate Conservation Area derives from the history of the area and evolution of the original settlement. Highgate’s historical narrative is discernible in the varied sequence of built development, spanning in time from the medieval village through to its expansion in the Victorian period and its consolidation in the 20th century</w:t>
      </w:r>
      <w:bookmarkEnd w:id="0"/>
      <w:r w:rsidRPr="00121064">
        <w:rPr>
          <w:rFonts w:ascii="Tahoma" w:hAnsi="Tahoma" w:cs="Tahoma"/>
        </w:rPr>
        <w:t xml:space="preserve">. </w:t>
      </w:r>
    </w:p>
    <w:p w14:paraId="52DCC4B0" w14:textId="77777777" w:rsidR="00121064" w:rsidRPr="00121064" w:rsidRDefault="00121064" w:rsidP="00121064">
      <w:pPr>
        <w:rPr>
          <w:rFonts w:ascii="Tahoma" w:hAnsi="Tahoma" w:cs="Tahoma"/>
        </w:rPr>
      </w:pPr>
      <w:r w:rsidRPr="00121064">
        <w:rPr>
          <w:rFonts w:ascii="Tahoma" w:hAnsi="Tahoma" w:cs="Tahoma"/>
        </w:rPr>
        <w:t xml:space="preserve">Highgate Station was opened in 1864 by the Edgware, </w:t>
      </w:r>
      <w:proofErr w:type="gramStart"/>
      <w:r w:rsidRPr="00121064">
        <w:rPr>
          <w:rFonts w:ascii="Tahoma" w:hAnsi="Tahoma" w:cs="Tahoma"/>
        </w:rPr>
        <w:t>Highgate</w:t>
      </w:r>
      <w:proofErr w:type="gramEnd"/>
      <w:r w:rsidRPr="00121064">
        <w:rPr>
          <w:rFonts w:ascii="Tahoma" w:hAnsi="Tahoma" w:cs="Tahoma"/>
        </w:rPr>
        <w:t xml:space="preserve"> and London Railway (later part of the Great Northern Railway) with connections to the City at Finsbury Park. This later became the parkland walk to the north of the site when it became disused in the C20. The opening of the railway stimulated development significantly and the area saw considerable growth on planned developments from the late C19 to the 1914. </w:t>
      </w:r>
    </w:p>
    <w:p w14:paraId="4826263C" w14:textId="7A726C20" w:rsidR="00121064" w:rsidRDefault="00121064" w:rsidP="00121064">
      <w:pPr>
        <w:rPr>
          <w:rFonts w:ascii="Tahoma" w:hAnsi="Tahoma" w:cs="Tahoma"/>
        </w:rPr>
      </w:pPr>
      <w:r w:rsidRPr="00121064">
        <w:rPr>
          <w:rFonts w:ascii="Tahoma" w:hAnsi="Tahoma" w:cs="Tahoma"/>
        </w:rPr>
        <w:t xml:space="preserve">The area in which the appeal site lies is part of the C19 development to the east of Archway Road. This part of the Conservation Area is known as ‘the </w:t>
      </w:r>
      <w:proofErr w:type="spellStart"/>
      <w:r w:rsidRPr="00121064">
        <w:rPr>
          <w:rFonts w:ascii="Tahoma" w:hAnsi="Tahoma" w:cs="Tahoma"/>
        </w:rPr>
        <w:t>Miltons</w:t>
      </w:r>
      <w:proofErr w:type="spellEnd"/>
      <w:r w:rsidRPr="00121064">
        <w:rPr>
          <w:rFonts w:ascii="Tahoma" w:hAnsi="Tahoma" w:cs="Tahoma"/>
        </w:rPr>
        <w:t>’ and it is a tightly built residential suburb with a homogeneous character and a down-sloping topography from the Hornsey Lane ridge, rising again after Milton Park. This articulated topography contributes to an interesting and attractive townscape of late Victorian and early Edwardian gently curved and stepped terraces complemented by deep gardens and leafy front gardens.</w:t>
      </w:r>
    </w:p>
    <w:p w14:paraId="3A712ABB" w14:textId="77777777" w:rsidR="00121064" w:rsidRDefault="00121064" w:rsidP="00121064">
      <w:pPr>
        <w:rPr>
          <w:rFonts w:ascii="Tahoma" w:hAnsi="Tahoma" w:cs="Tahoma"/>
        </w:rPr>
      </w:pPr>
      <w:r>
        <w:rPr>
          <w:rFonts w:ascii="Tahoma" w:hAnsi="Tahoma" w:cs="Tahoma"/>
        </w:rPr>
        <w:t xml:space="preserve">Both the adjacent buildings 29 </w:t>
      </w:r>
      <w:proofErr w:type="gramStart"/>
      <w:r>
        <w:rPr>
          <w:rFonts w:ascii="Tahoma" w:hAnsi="Tahoma" w:cs="Tahoma"/>
        </w:rPr>
        <w:t>Milton Park, and</w:t>
      </w:r>
      <w:proofErr w:type="gramEnd"/>
      <w:r>
        <w:rPr>
          <w:rFonts w:ascii="Tahoma" w:hAnsi="Tahoma" w:cs="Tahoma"/>
        </w:rPr>
        <w:t xml:space="preserve"> are considered to contribute positively to the significance of the Highgate Conservation Area and its architectural and historic interest.</w:t>
      </w:r>
      <w:r w:rsidR="004937A3">
        <w:rPr>
          <w:rFonts w:ascii="Tahoma" w:hAnsi="Tahoma" w:cs="Tahoma"/>
        </w:rPr>
        <w:t xml:space="preserve"> </w:t>
      </w:r>
      <w:r>
        <w:rPr>
          <w:rFonts w:ascii="Tahoma" w:hAnsi="Tahoma" w:cs="Tahoma"/>
        </w:rPr>
        <w:t xml:space="preserve">These buildings are part of ‘the Milton’s’ development which were built in the late 1890s by the architect/developer John </w:t>
      </w:r>
      <w:proofErr w:type="spellStart"/>
      <w:r>
        <w:rPr>
          <w:rFonts w:ascii="Tahoma" w:hAnsi="Tahoma" w:cs="Tahoma"/>
        </w:rPr>
        <w:t>Cathles</w:t>
      </w:r>
      <w:proofErr w:type="spellEnd"/>
      <w:r>
        <w:rPr>
          <w:rFonts w:ascii="Tahoma" w:hAnsi="Tahoma" w:cs="Tahoma"/>
        </w:rPr>
        <w:t xml:space="preserve"> Hill (1858-1915), a prominent figure in the development of Hornsey. The architectural consistency of ‘The </w:t>
      </w:r>
      <w:proofErr w:type="spellStart"/>
      <w:r>
        <w:rPr>
          <w:rFonts w:ascii="Tahoma" w:hAnsi="Tahoma" w:cs="Tahoma"/>
        </w:rPr>
        <w:t>Miltons</w:t>
      </w:r>
      <w:proofErr w:type="spellEnd"/>
      <w:r>
        <w:rPr>
          <w:rFonts w:ascii="Tahoma" w:hAnsi="Tahoma" w:cs="Tahoma"/>
        </w:rPr>
        <w:t xml:space="preserve">’ as a while and of 29-31 Milton Park, 25-27 Milton Park and 37-39 Milton Avenue themselves and with the wider streetscene is a key component this distinctive and homogenous historic area. These historic features are retained and generally in good condition. </w:t>
      </w:r>
    </w:p>
    <w:p w14:paraId="0132BA8C" w14:textId="013EAE62" w:rsidR="00121064" w:rsidRDefault="00121064" w:rsidP="00121064">
      <w:pPr>
        <w:rPr>
          <w:rFonts w:ascii="Tahoma" w:hAnsi="Tahoma" w:cs="Tahoma"/>
        </w:rPr>
      </w:pPr>
      <w:r>
        <w:rPr>
          <w:rFonts w:ascii="Tahoma" w:hAnsi="Tahoma" w:cs="Tahoma"/>
        </w:rPr>
        <w:t xml:space="preserve">The urban form of the buildings and the resultant streetscene is also considered to and remains legible and intact. The street layout with its angled junctions is a response to the </w:t>
      </w:r>
      <w:r w:rsidRPr="00121064">
        <w:rPr>
          <w:rFonts w:ascii="Tahoma" w:hAnsi="Tahoma" w:cs="Tahoma"/>
        </w:rPr>
        <w:t>wider site constraints of the railway</w:t>
      </w:r>
      <w:r>
        <w:rPr>
          <w:rFonts w:ascii="Tahoma" w:hAnsi="Tahoma" w:cs="Tahoma"/>
        </w:rPr>
        <w:t>. The set of three double fronted, semi-detached houses which face northwards, 29-31 Milton Park, 25-27 Milton Park and 37-39 Milton Avenue, are part of design of the area and retain</w:t>
      </w:r>
      <w:r w:rsidRPr="00121064">
        <w:rPr>
          <w:rFonts w:ascii="Tahoma" w:hAnsi="Tahoma" w:cs="Tahoma"/>
        </w:rPr>
        <w:t xml:space="preserve"> the same high-quality features: single-pane lower sash and multi-pane upper sash windows, porch timberwork, upturned eaves and the distinctive red brick frontages, with yellow stock brick sides with red brick string courses as their terraced neighbours</w:t>
      </w:r>
      <w:r>
        <w:rPr>
          <w:rFonts w:ascii="Tahoma" w:hAnsi="Tahoma" w:cs="Tahoma"/>
        </w:rPr>
        <w:t xml:space="preserve">, but are an </w:t>
      </w:r>
      <w:r w:rsidRPr="00121064">
        <w:rPr>
          <w:rFonts w:ascii="Tahoma" w:hAnsi="Tahoma" w:cs="Tahoma"/>
        </w:rPr>
        <w:t>anomal</w:t>
      </w:r>
      <w:r>
        <w:rPr>
          <w:rFonts w:ascii="Tahoma" w:hAnsi="Tahoma" w:cs="Tahoma"/>
        </w:rPr>
        <w:t>ous building type to suit the angled street pattern, with gaps for gardens at each side.</w:t>
      </w:r>
      <w:r w:rsidR="00577096">
        <w:rPr>
          <w:rFonts w:ascii="Tahoma" w:hAnsi="Tahoma" w:cs="Tahoma"/>
        </w:rPr>
        <w:t xml:space="preserve"> This different approach to the angled street pattern is likely to have originated form designing a set of semi-detached houses (No 37-39 Milton) to face onto the small planted public space to the west of the site. </w:t>
      </w:r>
    </w:p>
    <w:p w14:paraId="1EC4606F" w14:textId="629F0621" w:rsidR="00577096" w:rsidRDefault="00577096" w:rsidP="00577096">
      <w:pPr>
        <w:rPr>
          <w:rFonts w:ascii="Tahoma" w:hAnsi="Tahoma" w:cs="Tahoma"/>
        </w:rPr>
      </w:pPr>
      <w:r>
        <w:rPr>
          <w:rFonts w:ascii="Tahoma" w:hAnsi="Tahoma" w:cs="Tahoma"/>
        </w:rPr>
        <w:t xml:space="preserve">The urban grain and architectural form </w:t>
      </w:r>
      <w:proofErr w:type="gramStart"/>
      <w:r>
        <w:rPr>
          <w:rFonts w:ascii="Tahoma" w:hAnsi="Tahoma" w:cs="Tahoma"/>
        </w:rPr>
        <w:t>is</w:t>
      </w:r>
      <w:proofErr w:type="gramEnd"/>
      <w:r>
        <w:rPr>
          <w:rFonts w:ascii="Tahoma" w:hAnsi="Tahoma" w:cs="Tahoma"/>
        </w:rPr>
        <w:t xml:space="preserve"> therefore an important part of the areas architectural interest and historic interest. The high demand for housing and subsequent speculative development in this period, which remains in good homogenous condition, are fundamental to the development and the character and appearance of the Highgate Conservation Area and contributes to its illustrative historic interest and its architectural interest.    </w:t>
      </w:r>
    </w:p>
    <w:p w14:paraId="19633A15" w14:textId="77777777" w:rsidR="005D7FD5" w:rsidRDefault="00577096" w:rsidP="00577096">
      <w:pPr>
        <w:rPr>
          <w:rFonts w:ascii="Tahoma" w:hAnsi="Tahoma" w:cs="Tahoma"/>
        </w:rPr>
      </w:pPr>
      <w:r>
        <w:rPr>
          <w:rFonts w:ascii="Tahoma" w:hAnsi="Tahoma" w:cs="Tahoma"/>
        </w:rPr>
        <w:t xml:space="preserve">The original urban grain is appreciable from the street and the three sets of semi-detached houses offer a pleasing variation on the terraces which surround it and retain a highly attractive and consistent architectural language. This is considered to positively contribute to the distinctive character of this part of the Highgate Conservation Area and its significance. </w:t>
      </w:r>
    </w:p>
    <w:p w14:paraId="6EB43FEA" w14:textId="283EB8FC" w:rsidR="00577096" w:rsidRPr="005D7FD5" w:rsidRDefault="005D7FD5" w:rsidP="00577096">
      <w:pPr>
        <w:rPr>
          <w:rFonts w:ascii="Tahoma" w:hAnsi="Tahoma" w:cs="Tahoma"/>
          <w:u w:val="single"/>
        </w:rPr>
      </w:pPr>
      <w:r w:rsidRPr="005D7FD5">
        <w:rPr>
          <w:rFonts w:ascii="Tahoma" w:hAnsi="Tahoma" w:cs="Tahoma"/>
          <w:u w:val="single"/>
        </w:rPr>
        <w:t xml:space="preserve">Submitted </w:t>
      </w:r>
      <w:proofErr w:type="gramStart"/>
      <w:r w:rsidRPr="005D7FD5">
        <w:rPr>
          <w:rFonts w:ascii="Tahoma" w:hAnsi="Tahoma" w:cs="Tahoma"/>
          <w:u w:val="single"/>
        </w:rPr>
        <w:t>documents</w:t>
      </w:r>
      <w:proofErr w:type="gramEnd"/>
      <w:r w:rsidRPr="005D7FD5">
        <w:rPr>
          <w:rFonts w:ascii="Tahoma" w:hAnsi="Tahoma" w:cs="Tahoma"/>
          <w:u w:val="single"/>
        </w:rPr>
        <w:t xml:space="preserve"> </w:t>
      </w:r>
      <w:r w:rsidR="00577096" w:rsidRPr="005D7FD5">
        <w:rPr>
          <w:rFonts w:ascii="Tahoma" w:hAnsi="Tahoma" w:cs="Tahoma"/>
          <w:u w:val="single"/>
        </w:rPr>
        <w:t xml:space="preserve"> </w:t>
      </w:r>
    </w:p>
    <w:p w14:paraId="43CB5A6D" w14:textId="066DC9B7" w:rsidR="00475B84" w:rsidRDefault="00475B84" w:rsidP="00577096">
      <w:pPr>
        <w:rPr>
          <w:rFonts w:ascii="Tahoma" w:hAnsi="Tahoma" w:cs="Tahoma"/>
        </w:rPr>
      </w:pPr>
      <w:r>
        <w:rPr>
          <w:rFonts w:ascii="Tahoma" w:hAnsi="Tahoma" w:cs="Tahoma"/>
        </w:rPr>
        <w:t xml:space="preserve">There appear to be </w:t>
      </w:r>
      <w:r w:rsidR="005D7FD5">
        <w:rPr>
          <w:rFonts w:ascii="Tahoma" w:hAnsi="Tahoma" w:cs="Tahoma"/>
        </w:rPr>
        <w:t>some</w:t>
      </w:r>
      <w:r>
        <w:rPr>
          <w:rFonts w:ascii="Tahoma" w:hAnsi="Tahoma" w:cs="Tahoma"/>
        </w:rPr>
        <w:t xml:space="preserve"> inconsistencies within the proposed documents, the plans, elevations</w:t>
      </w:r>
      <w:r w:rsidR="009A2302">
        <w:rPr>
          <w:rFonts w:ascii="Tahoma" w:hAnsi="Tahoma" w:cs="Tahoma"/>
        </w:rPr>
        <w:t>,</w:t>
      </w:r>
      <w:r>
        <w:rPr>
          <w:rFonts w:ascii="Tahoma" w:hAnsi="Tahoma" w:cs="Tahoma"/>
        </w:rPr>
        <w:t xml:space="preserve"> and CGIs</w:t>
      </w:r>
      <w:r w:rsidR="00B55784">
        <w:rPr>
          <w:rFonts w:ascii="Tahoma" w:hAnsi="Tahoma" w:cs="Tahoma"/>
        </w:rPr>
        <w:t xml:space="preserve"> around the junctions to the existing buildings and at roof level. </w:t>
      </w:r>
      <w:r w:rsidR="005D7FD5">
        <w:rPr>
          <w:rFonts w:ascii="Tahoma" w:hAnsi="Tahoma" w:cs="Tahoma"/>
        </w:rPr>
        <w:t xml:space="preserve">The floor plans, including the </w:t>
      </w:r>
      <w:proofErr w:type="spellStart"/>
      <w:r w:rsidR="005D7FD5">
        <w:rPr>
          <w:rFonts w:ascii="Tahoma" w:hAnsi="Tahoma" w:cs="Tahoma"/>
        </w:rPr>
        <w:t>Passivhaus</w:t>
      </w:r>
      <w:proofErr w:type="spellEnd"/>
      <w:r w:rsidR="005D7FD5">
        <w:rPr>
          <w:rFonts w:ascii="Tahoma" w:hAnsi="Tahoma" w:cs="Tahoma"/>
        </w:rPr>
        <w:t xml:space="preserve"> details </w:t>
      </w:r>
      <w:r w:rsidR="009A2302">
        <w:rPr>
          <w:rFonts w:ascii="Tahoma" w:hAnsi="Tahoma" w:cs="Tahoma"/>
        </w:rPr>
        <w:t xml:space="preserve">(which have a specific detail for attaching to the adjoining buildings) </w:t>
      </w:r>
      <w:r w:rsidR="005D7FD5">
        <w:rPr>
          <w:rFonts w:ascii="Tahoma" w:hAnsi="Tahoma" w:cs="Tahoma"/>
        </w:rPr>
        <w:t xml:space="preserve">and plans show that there is a new solid wall proposed to the Milton Road party wall, but this is thinner in depth in the elevation and the submitted CGIs (drawings  </w:t>
      </w:r>
      <w:r w:rsidR="009A2302">
        <w:rPr>
          <w:rFonts w:ascii="Tahoma" w:hAnsi="Tahoma" w:cs="Tahoma"/>
        </w:rPr>
        <w:t>PL2.20 and pages, 6, 7, 9 and 15 of the design and access statement</w:t>
      </w:r>
      <w:r w:rsidR="005D7FD5">
        <w:rPr>
          <w:rFonts w:ascii="Tahoma" w:hAnsi="Tahoma" w:cs="Tahoma"/>
        </w:rPr>
        <w:t xml:space="preserve">) do not appear to show any new wall here, </w:t>
      </w:r>
      <w:r w:rsidR="009A2302">
        <w:rPr>
          <w:rFonts w:ascii="Tahoma" w:hAnsi="Tahoma" w:cs="Tahoma"/>
        </w:rPr>
        <w:t>but instead that</w:t>
      </w:r>
      <w:r w:rsidR="005D7FD5">
        <w:rPr>
          <w:rFonts w:ascii="Tahoma" w:hAnsi="Tahoma" w:cs="Tahoma"/>
        </w:rPr>
        <w:t xml:space="preserve"> the glazing </w:t>
      </w:r>
      <w:r w:rsidR="009A2302">
        <w:rPr>
          <w:rFonts w:ascii="Tahoma" w:hAnsi="Tahoma" w:cs="Tahoma"/>
        </w:rPr>
        <w:t>lightweight</w:t>
      </w:r>
      <w:r w:rsidR="005D7FD5">
        <w:rPr>
          <w:rFonts w:ascii="Tahoma" w:hAnsi="Tahoma" w:cs="Tahoma"/>
        </w:rPr>
        <w:t xml:space="preserve"> attaching </w:t>
      </w:r>
      <w:r w:rsidR="009A2302">
        <w:rPr>
          <w:rFonts w:ascii="Tahoma" w:hAnsi="Tahoma" w:cs="Tahoma"/>
        </w:rPr>
        <w:t>to</w:t>
      </w:r>
      <w:r w:rsidR="005D7FD5">
        <w:rPr>
          <w:rFonts w:ascii="Tahoma" w:hAnsi="Tahoma" w:cs="Tahoma"/>
        </w:rPr>
        <w:t xml:space="preserve"> t</w:t>
      </w:r>
      <w:r w:rsidR="009A2302">
        <w:rPr>
          <w:rFonts w:ascii="Tahoma" w:hAnsi="Tahoma" w:cs="Tahoma"/>
        </w:rPr>
        <w:t>he</w:t>
      </w:r>
      <w:r w:rsidR="005D7FD5">
        <w:rPr>
          <w:rFonts w:ascii="Tahoma" w:hAnsi="Tahoma" w:cs="Tahoma"/>
        </w:rPr>
        <w:t xml:space="preserve"> e</w:t>
      </w:r>
      <w:r w:rsidR="009A2302">
        <w:rPr>
          <w:rFonts w:ascii="Tahoma" w:hAnsi="Tahoma" w:cs="Tahoma"/>
        </w:rPr>
        <w:t>x</w:t>
      </w:r>
      <w:r w:rsidR="005D7FD5">
        <w:rPr>
          <w:rFonts w:ascii="Tahoma" w:hAnsi="Tahoma" w:cs="Tahoma"/>
        </w:rPr>
        <w:t xml:space="preserve">isting brickwork gable end. </w:t>
      </w:r>
    </w:p>
    <w:p w14:paraId="11ECB9D0" w14:textId="77777777" w:rsidR="00577096" w:rsidRDefault="00577096" w:rsidP="00577096">
      <w:pPr>
        <w:rPr>
          <w:rFonts w:ascii="Tahoma" w:hAnsi="Tahoma" w:cs="Tahoma"/>
          <w:u w:val="single"/>
        </w:rPr>
      </w:pPr>
      <w:r>
        <w:rPr>
          <w:rFonts w:ascii="Tahoma" w:hAnsi="Tahoma" w:cs="Tahoma"/>
          <w:u w:val="single"/>
        </w:rPr>
        <w:t>Impact of the proposed development</w:t>
      </w:r>
    </w:p>
    <w:p w14:paraId="477F8F0D" w14:textId="03A53AD1" w:rsidR="00577096" w:rsidRDefault="00577096" w:rsidP="00577096">
      <w:pPr>
        <w:rPr>
          <w:rFonts w:ascii="Tahoma" w:hAnsi="Tahoma" w:cs="Tahoma"/>
        </w:rPr>
      </w:pPr>
      <w:r>
        <w:rPr>
          <w:rFonts w:ascii="Tahoma" w:hAnsi="Tahoma" w:cs="Tahoma"/>
        </w:rPr>
        <w:t>As set out in the previous response to application (</w:t>
      </w:r>
      <w:r w:rsidR="00CE2124" w:rsidRPr="00CE2124">
        <w:rPr>
          <w:rFonts w:ascii="Tahoma" w:hAnsi="Tahoma" w:cs="Tahoma"/>
        </w:rPr>
        <w:t>HGY/2022/2318</w:t>
      </w:r>
      <w:r>
        <w:rPr>
          <w:rFonts w:ascii="Tahoma" w:hAnsi="Tahoma" w:cs="Tahoma"/>
        </w:rPr>
        <w:t xml:space="preserve">) and the planning </w:t>
      </w:r>
      <w:proofErr w:type="gramStart"/>
      <w:r>
        <w:rPr>
          <w:rFonts w:ascii="Tahoma" w:hAnsi="Tahoma" w:cs="Tahoma"/>
        </w:rPr>
        <w:t>inspectors</w:t>
      </w:r>
      <w:proofErr w:type="gramEnd"/>
      <w:r>
        <w:rPr>
          <w:rFonts w:ascii="Tahoma" w:hAnsi="Tahoma" w:cs="Tahoma"/>
        </w:rPr>
        <w:t xml:space="preserve"> decision the principle of </w:t>
      </w:r>
      <w:r w:rsidRPr="00577096">
        <w:rPr>
          <w:rFonts w:ascii="Tahoma" w:hAnsi="Tahoma" w:cs="Tahoma"/>
        </w:rPr>
        <w:t>infilling th</w:t>
      </w:r>
      <w:r>
        <w:rPr>
          <w:rFonts w:ascii="Tahoma" w:hAnsi="Tahoma" w:cs="Tahoma"/>
        </w:rPr>
        <w:t>e</w:t>
      </w:r>
      <w:r w:rsidRPr="00577096">
        <w:rPr>
          <w:rFonts w:ascii="Tahoma" w:hAnsi="Tahoma" w:cs="Tahoma"/>
        </w:rPr>
        <w:t xml:space="preserve"> space </w:t>
      </w:r>
      <w:r>
        <w:rPr>
          <w:rFonts w:ascii="Tahoma" w:hAnsi="Tahoma" w:cs="Tahoma"/>
        </w:rPr>
        <w:t>between 29 Milton Park and 29 Milton Road</w:t>
      </w:r>
      <w:r w:rsidRPr="00577096">
        <w:rPr>
          <w:rFonts w:ascii="Tahoma" w:hAnsi="Tahoma" w:cs="Tahoma"/>
        </w:rPr>
        <w:t xml:space="preserve"> </w:t>
      </w:r>
      <w:r>
        <w:rPr>
          <w:rFonts w:ascii="Tahoma" w:hAnsi="Tahoma" w:cs="Tahoma"/>
        </w:rPr>
        <w:t>with an additional dwelling</w:t>
      </w:r>
      <w:r w:rsidRPr="00577096">
        <w:rPr>
          <w:rFonts w:ascii="Tahoma" w:hAnsi="Tahoma" w:cs="Tahoma"/>
        </w:rPr>
        <w:t xml:space="preserve"> would erode the original layout and urban form of this part of the Conservation Area. This would negatively impact on the legibility and experience of its distinctive, </w:t>
      </w:r>
      <w:proofErr w:type="gramStart"/>
      <w:r w:rsidRPr="00577096">
        <w:rPr>
          <w:rFonts w:ascii="Tahoma" w:hAnsi="Tahoma" w:cs="Tahoma"/>
        </w:rPr>
        <w:t>well-preserved</w:t>
      </w:r>
      <w:proofErr w:type="gramEnd"/>
      <w:r w:rsidRPr="00577096">
        <w:rPr>
          <w:rFonts w:ascii="Tahoma" w:hAnsi="Tahoma" w:cs="Tahoma"/>
        </w:rPr>
        <w:t xml:space="preserve"> and homogeneous townscape and appearance and would reduce the appreciation of how this contributes to the significance of the Conservation Area and would accordingly be considered to cause less than substantial harm.  </w:t>
      </w:r>
      <w:r>
        <w:rPr>
          <w:rFonts w:ascii="Tahoma" w:hAnsi="Tahoma" w:cs="Tahoma"/>
        </w:rPr>
        <w:t xml:space="preserve"> </w:t>
      </w:r>
    </w:p>
    <w:p w14:paraId="1882761F" w14:textId="251E7C0B" w:rsidR="00577096" w:rsidRPr="00577096" w:rsidRDefault="00577096" w:rsidP="00AB23CD">
      <w:pPr>
        <w:rPr>
          <w:rFonts w:ascii="Tahoma" w:hAnsi="Tahoma" w:cs="Tahoma"/>
          <w:i/>
          <w:iCs/>
        </w:rPr>
      </w:pPr>
      <w:r>
        <w:rPr>
          <w:rFonts w:ascii="Tahoma" w:hAnsi="Tahoma" w:cs="Tahoma"/>
        </w:rPr>
        <w:t xml:space="preserve">This </w:t>
      </w:r>
      <w:r w:rsidR="00AB23CD">
        <w:rPr>
          <w:rFonts w:ascii="Tahoma" w:hAnsi="Tahoma" w:cs="Tahoma"/>
        </w:rPr>
        <w:t>harm is also</w:t>
      </w:r>
      <w:r>
        <w:rPr>
          <w:rFonts w:ascii="Tahoma" w:hAnsi="Tahoma" w:cs="Tahoma"/>
        </w:rPr>
        <w:t xml:space="preserve"> set out in the </w:t>
      </w:r>
      <w:r w:rsidR="00AB23CD">
        <w:rPr>
          <w:rFonts w:ascii="Tahoma" w:hAnsi="Tahoma" w:cs="Tahoma"/>
        </w:rPr>
        <w:t xml:space="preserve">HGY/2022/2318 </w:t>
      </w:r>
      <w:r>
        <w:rPr>
          <w:rFonts w:ascii="Tahoma" w:hAnsi="Tahoma" w:cs="Tahoma"/>
        </w:rPr>
        <w:t xml:space="preserve">planning </w:t>
      </w:r>
      <w:proofErr w:type="gramStart"/>
      <w:r>
        <w:rPr>
          <w:rFonts w:ascii="Tahoma" w:hAnsi="Tahoma" w:cs="Tahoma"/>
        </w:rPr>
        <w:t>inspectors</w:t>
      </w:r>
      <w:proofErr w:type="gramEnd"/>
      <w:r>
        <w:rPr>
          <w:rFonts w:ascii="Tahoma" w:hAnsi="Tahoma" w:cs="Tahoma"/>
        </w:rPr>
        <w:t xml:space="preserve"> decision,</w:t>
      </w:r>
      <w:r w:rsidR="00AB23CD">
        <w:rPr>
          <w:rFonts w:ascii="Tahoma" w:hAnsi="Tahoma" w:cs="Tahoma"/>
        </w:rPr>
        <w:t xml:space="preserve"> </w:t>
      </w:r>
      <w:r>
        <w:rPr>
          <w:rFonts w:ascii="Tahoma" w:hAnsi="Tahoma" w:cs="Tahoma"/>
        </w:rPr>
        <w:t>paragraph 8</w:t>
      </w:r>
      <w:r w:rsidR="00AB23CD">
        <w:rPr>
          <w:rFonts w:ascii="Tahoma" w:hAnsi="Tahoma" w:cs="Tahoma"/>
        </w:rPr>
        <w:t>,</w:t>
      </w:r>
      <w:r>
        <w:rPr>
          <w:rFonts w:ascii="Tahoma" w:hAnsi="Tahoma" w:cs="Tahoma"/>
        </w:rPr>
        <w:t xml:space="preserve"> in which they stated infilling the gap would: “</w:t>
      </w:r>
      <w:r w:rsidR="00AB23CD" w:rsidRPr="00AB23CD">
        <w:rPr>
          <w:rFonts w:ascii="Tahoma" w:hAnsi="Tahoma" w:cs="Tahoma"/>
          <w:i/>
          <w:iCs/>
        </w:rPr>
        <w:t>While a small gap would be retained, it would give the appearance of a continuous line of development that would wrap around the corner of the street, effectively merging the terraced housing in Milford Road with the appeal property in Milford Park. This would undermine</w:t>
      </w:r>
      <w:r w:rsidR="00AB23CD" w:rsidRPr="00AB23CD">
        <w:rPr>
          <w:rFonts w:ascii="Tahoma" w:hAnsi="Tahoma" w:cs="Tahoma"/>
        </w:rPr>
        <w:t xml:space="preserve"> </w:t>
      </w:r>
      <w:r w:rsidRPr="00577096">
        <w:rPr>
          <w:rFonts w:ascii="Tahoma" w:hAnsi="Tahoma" w:cs="Tahoma"/>
          <w:i/>
          <w:iCs/>
        </w:rPr>
        <w:t>the prevailing pattern of development in Milton Park where similar pairs of semi-detached dwellings are clearly separated from the terraced housing.”</w:t>
      </w:r>
      <w:r w:rsidRPr="00577096">
        <w:rPr>
          <w:rFonts w:ascii="Tahoma" w:hAnsi="Tahoma" w:cs="Tahoma"/>
        </w:rPr>
        <w:t xml:space="preserve"> </w:t>
      </w:r>
    </w:p>
    <w:p w14:paraId="40F79975" w14:textId="0A0C4843" w:rsidR="00B55784" w:rsidRDefault="00CE2124" w:rsidP="00B55784">
      <w:pPr>
        <w:rPr>
          <w:rFonts w:ascii="Tahoma" w:hAnsi="Tahoma" w:cs="Tahoma"/>
        </w:rPr>
      </w:pPr>
      <w:r>
        <w:rPr>
          <w:rFonts w:ascii="Tahoma" w:hAnsi="Tahoma" w:cs="Tahoma"/>
        </w:rPr>
        <w:t>This aspect of the proposed development has not altered since the previously dismissed application</w:t>
      </w:r>
      <w:r w:rsidR="00B55784">
        <w:rPr>
          <w:rFonts w:ascii="Tahoma" w:hAnsi="Tahoma" w:cs="Tahoma"/>
        </w:rPr>
        <w:t xml:space="preserve">. The proposed house would wrap around and infill the corner merging the housing on Milton Road and Milton Park would infill the gap between. This would undermine the pattern of development and </w:t>
      </w:r>
      <w:r w:rsidR="00B55784" w:rsidRPr="0011438D">
        <w:rPr>
          <w:rFonts w:ascii="Tahoma" w:hAnsi="Tahoma" w:cs="Tahoma"/>
        </w:rPr>
        <w:t>would erode the original layout and urban form of this part of the C</w:t>
      </w:r>
      <w:r w:rsidR="00B55784">
        <w:rPr>
          <w:rFonts w:ascii="Tahoma" w:hAnsi="Tahoma" w:cs="Tahoma"/>
        </w:rPr>
        <w:t xml:space="preserve">onservation </w:t>
      </w:r>
      <w:r w:rsidR="00B55784" w:rsidRPr="0011438D">
        <w:rPr>
          <w:rFonts w:ascii="Tahoma" w:hAnsi="Tahoma" w:cs="Tahoma"/>
        </w:rPr>
        <w:t>A</w:t>
      </w:r>
      <w:r w:rsidR="00B55784">
        <w:rPr>
          <w:rFonts w:ascii="Tahoma" w:hAnsi="Tahoma" w:cs="Tahoma"/>
        </w:rPr>
        <w:t xml:space="preserve">rea where </w:t>
      </w:r>
      <w:r w:rsidR="00B55784" w:rsidRPr="00B55784">
        <w:rPr>
          <w:rFonts w:ascii="Tahoma" w:hAnsi="Tahoma" w:cs="Tahoma"/>
        </w:rPr>
        <w:t>similar pairs of semi-detached</w:t>
      </w:r>
      <w:r w:rsidR="00B55784">
        <w:rPr>
          <w:rFonts w:ascii="Tahoma" w:hAnsi="Tahoma" w:cs="Tahoma"/>
        </w:rPr>
        <w:t xml:space="preserve"> </w:t>
      </w:r>
      <w:r w:rsidR="00B55784" w:rsidRPr="00B55784">
        <w:rPr>
          <w:rFonts w:ascii="Tahoma" w:hAnsi="Tahoma" w:cs="Tahoma"/>
        </w:rPr>
        <w:t xml:space="preserve">dwellings are clearly </w:t>
      </w:r>
      <w:r w:rsidR="00B55784">
        <w:rPr>
          <w:rFonts w:ascii="Tahoma" w:hAnsi="Tahoma" w:cs="Tahoma"/>
        </w:rPr>
        <w:t>s</w:t>
      </w:r>
      <w:r w:rsidR="00B55784" w:rsidRPr="00B55784">
        <w:rPr>
          <w:rFonts w:ascii="Tahoma" w:hAnsi="Tahoma" w:cs="Tahoma"/>
        </w:rPr>
        <w:t>eparated from the terraced housing</w:t>
      </w:r>
      <w:r w:rsidR="00B55784">
        <w:rPr>
          <w:rFonts w:ascii="Tahoma" w:hAnsi="Tahoma" w:cs="Tahoma"/>
        </w:rPr>
        <w:t xml:space="preserve">. </w:t>
      </w:r>
    </w:p>
    <w:p w14:paraId="5694E7C6" w14:textId="0FE81C34" w:rsidR="00CA69A2" w:rsidRDefault="00CA69A2" w:rsidP="00CA69A2">
      <w:pPr>
        <w:rPr>
          <w:rFonts w:ascii="Tahoma" w:hAnsi="Tahoma" w:cs="Tahoma"/>
        </w:rPr>
      </w:pPr>
      <w:r>
        <w:rPr>
          <w:rFonts w:ascii="Tahoma" w:hAnsi="Tahoma" w:cs="Tahoma"/>
        </w:rPr>
        <w:t>Furthermore</w:t>
      </w:r>
      <w:r w:rsidR="00EE3683">
        <w:rPr>
          <w:rFonts w:ascii="Tahoma" w:hAnsi="Tahoma" w:cs="Tahoma"/>
        </w:rPr>
        <w:t>,</w:t>
      </w:r>
      <w:r>
        <w:rPr>
          <w:rFonts w:ascii="Tahoma" w:hAnsi="Tahoma" w:cs="Tahoma"/>
        </w:rPr>
        <w:t xml:space="preserve"> the design, scale and landscaping would be considered to cause harm to the significance of the Highgate Conservation Area. The </w:t>
      </w:r>
      <w:r w:rsidR="00EE3683">
        <w:rPr>
          <w:rFonts w:ascii="Tahoma" w:hAnsi="Tahoma" w:cs="Tahoma"/>
        </w:rPr>
        <w:t>relatively lower height of the building, its flat-topped</w:t>
      </w:r>
      <w:r w:rsidR="00AA634B">
        <w:rPr>
          <w:rFonts w:ascii="Tahoma" w:hAnsi="Tahoma" w:cs="Tahoma"/>
        </w:rPr>
        <w:t>,</w:t>
      </w:r>
      <w:r w:rsidR="00EE3683">
        <w:rPr>
          <w:rFonts w:ascii="Tahoma" w:hAnsi="Tahoma" w:cs="Tahoma"/>
        </w:rPr>
        <w:t xml:space="preserve"> stepped pyramid </w:t>
      </w:r>
      <w:proofErr w:type="gramStart"/>
      <w:r w:rsidR="00EE3683">
        <w:rPr>
          <w:rFonts w:ascii="Tahoma" w:hAnsi="Tahoma" w:cs="Tahoma"/>
        </w:rPr>
        <w:t>roof</w:t>
      </w:r>
      <w:proofErr w:type="gramEnd"/>
      <w:r w:rsidR="00EE3683">
        <w:rPr>
          <w:rFonts w:ascii="Tahoma" w:hAnsi="Tahoma" w:cs="Tahoma"/>
        </w:rPr>
        <w:t xml:space="preserve"> and large glazed elements contrast with the adjacent Edwardian buildings. </w:t>
      </w:r>
      <w:r w:rsidR="00AA634B">
        <w:rPr>
          <w:rFonts w:ascii="Tahoma" w:hAnsi="Tahoma" w:cs="Tahoma"/>
        </w:rPr>
        <w:t>This would draw attention to the</w:t>
      </w:r>
      <w:r>
        <w:rPr>
          <w:rFonts w:ascii="Tahoma" w:hAnsi="Tahoma" w:cs="Tahoma"/>
        </w:rPr>
        <w:t xml:space="preserve"> building</w:t>
      </w:r>
      <w:r w:rsidR="00AA634B">
        <w:rPr>
          <w:rFonts w:ascii="Tahoma" w:hAnsi="Tahoma" w:cs="Tahoma"/>
        </w:rPr>
        <w:t xml:space="preserve"> which would be located on </w:t>
      </w:r>
      <w:r>
        <w:rPr>
          <w:rFonts w:ascii="Tahoma" w:hAnsi="Tahoma" w:cs="Tahoma"/>
        </w:rPr>
        <w:t>a prominent corner site</w:t>
      </w:r>
      <w:r w:rsidR="00AA634B">
        <w:rPr>
          <w:rFonts w:ascii="Tahoma" w:hAnsi="Tahoma" w:cs="Tahoma"/>
        </w:rPr>
        <w:t xml:space="preserve"> and would only have limited landscaping to soften this, and only to one side. </w:t>
      </w:r>
    </w:p>
    <w:p w14:paraId="108F4BDD" w14:textId="77777777" w:rsidR="00C44267" w:rsidRDefault="00AA634B" w:rsidP="00B55784">
      <w:pPr>
        <w:rPr>
          <w:rFonts w:ascii="Tahoma" w:hAnsi="Tahoma" w:cs="Tahoma"/>
        </w:rPr>
      </w:pPr>
      <w:r>
        <w:rPr>
          <w:rFonts w:ascii="Tahoma" w:hAnsi="Tahoma" w:cs="Tahoma"/>
        </w:rPr>
        <w:t xml:space="preserve">Overall, the proposed development would cause less than substantial harm to the significance of the Highgate Conservation Area as it would </w:t>
      </w:r>
      <w:r w:rsidR="00B55784" w:rsidRPr="00E564D1">
        <w:rPr>
          <w:rFonts w:ascii="Tahoma" w:hAnsi="Tahoma" w:cs="Tahoma"/>
        </w:rPr>
        <w:t xml:space="preserve">negatively impact on the legibility </w:t>
      </w:r>
      <w:r w:rsidR="00C44267">
        <w:rPr>
          <w:rFonts w:ascii="Tahoma" w:hAnsi="Tahoma" w:cs="Tahoma"/>
        </w:rPr>
        <w:t>of the pattern of development</w:t>
      </w:r>
      <w:r w:rsidR="00B55784" w:rsidRPr="00E564D1">
        <w:rPr>
          <w:rFonts w:ascii="Tahoma" w:hAnsi="Tahoma" w:cs="Tahoma"/>
        </w:rPr>
        <w:t xml:space="preserve"> of </w:t>
      </w:r>
      <w:r w:rsidR="00B55784">
        <w:rPr>
          <w:rFonts w:ascii="Tahoma" w:hAnsi="Tahoma" w:cs="Tahoma"/>
        </w:rPr>
        <w:t>this part of the Conservation Areas</w:t>
      </w:r>
      <w:r w:rsidR="00B55784" w:rsidRPr="00E564D1">
        <w:rPr>
          <w:rFonts w:ascii="Tahoma" w:hAnsi="Tahoma" w:cs="Tahoma"/>
        </w:rPr>
        <w:t xml:space="preserve"> distinctive, </w:t>
      </w:r>
      <w:proofErr w:type="gramStart"/>
      <w:r w:rsidR="00B55784" w:rsidRPr="00E564D1">
        <w:rPr>
          <w:rFonts w:ascii="Tahoma" w:hAnsi="Tahoma" w:cs="Tahoma"/>
        </w:rPr>
        <w:t>well-preserved</w:t>
      </w:r>
      <w:proofErr w:type="gramEnd"/>
      <w:r w:rsidR="00B55784" w:rsidRPr="00E564D1">
        <w:rPr>
          <w:rFonts w:ascii="Tahoma" w:hAnsi="Tahoma" w:cs="Tahoma"/>
        </w:rPr>
        <w:t xml:space="preserve"> and homogeneous townscape</w:t>
      </w:r>
      <w:r w:rsidR="00B55784">
        <w:rPr>
          <w:rFonts w:ascii="Tahoma" w:hAnsi="Tahoma" w:cs="Tahoma"/>
        </w:rPr>
        <w:t>.</w:t>
      </w:r>
      <w:r w:rsidR="00C44267">
        <w:rPr>
          <w:rFonts w:ascii="Tahoma" w:hAnsi="Tahoma" w:cs="Tahoma"/>
        </w:rPr>
        <w:t xml:space="preserve"> </w:t>
      </w:r>
    </w:p>
    <w:p w14:paraId="58070CE4" w14:textId="3962C321" w:rsidR="004937A3" w:rsidRPr="008D7D07" w:rsidRDefault="00C44267" w:rsidP="00FB1281">
      <w:pPr>
        <w:rPr>
          <w:rFonts w:ascii="Tahoma" w:hAnsi="Tahoma" w:cs="Tahoma"/>
        </w:rPr>
      </w:pPr>
      <w:r w:rsidRPr="00C44267">
        <w:rPr>
          <w:rFonts w:ascii="Tahoma" w:hAnsi="Tahoma" w:cs="Tahoma"/>
        </w:rPr>
        <w:t xml:space="preserve">As the </w:t>
      </w:r>
      <w:r>
        <w:rPr>
          <w:rFonts w:ascii="Tahoma" w:hAnsi="Tahoma" w:cs="Tahoma"/>
        </w:rPr>
        <w:t xml:space="preserve">Highgate </w:t>
      </w:r>
      <w:r w:rsidRPr="00C44267">
        <w:rPr>
          <w:rFonts w:ascii="Tahoma" w:hAnsi="Tahoma" w:cs="Tahoma"/>
        </w:rPr>
        <w:t>Conservation Area is a designated heritage asset great weight should be given to the asset’s conservation, and any harm caused to the significance of a designated heritage asset requires clear and convincing justification and should be weighed against public (not private) benefits. Accordingly, as the proposals are considered to cause less than harm to the significance of the Conservation Area, Conservation would not support this application</w:t>
      </w:r>
      <w:r>
        <w:rPr>
          <w:rFonts w:ascii="Tahoma" w:hAnsi="Tahoma" w:cs="Tahoma"/>
        </w:rPr>
        <w:t>.</w:t>
      </w:r>
      <w:r w:rsidR="00B55784">
        <w:rPr>
          <w:rFonts w:ascii="Tahoma" w:hAnsi="Tahoma" w:cs="Tahoma"/>
        </w:rPr>
        <w:t xml:space="preserve"> </w:t>
      </w:r>
    </w:p>
    <w:sectPr w:rsidR="004937A3" w:rsidRPr="008D7D07" w:rsidSect="00253377">
      <w:headerReference w:type="first" r:id="rId8"/>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3644B" w14:textId="77777777" w:rsidR="001B2B6E" w:rsidRDefault="001B2B6E" w:rsidP="00253377">
      <w:pPr>
        <w:spacing w:after="0" w:line="240" w:lineRule="auto"/>
      </w:pPr>
      <w:r>
        <w:separator/>
      </w:r>
    </w:p>
  </w:endnote>
  <w:endnote w:type="continuationSeparator" w:id="0">
    <w:p w14:paraId="0E98BF83" w14:textId="77777777" w:rsidR="001B2B6E" w:rsidRDefault="001B2B6E"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F3AFA" w14:textId="77777777" w:rsidR="001B2B6E" w:rsidRDefault="001B2B6E" w:rsidP="00253377">
      <w:pPr>
        <w:spacing w:after="0" w:line="240" w:lineRule="auto"/>
      </w:pPr>
      <w:r>
        <w:separator/>
      </w:r>
    </w:p>
  </w:footnote>
  <w:footnote w:type="continuationSeparator" w:id="0">
    <w:p w14:paraId="1770F401" w14:textId="77777777" w:rsidR="001B2B6E" w:rsidRDefault="001B2B6E"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BDD2" w14:textId="227F13BC" w:rsidR="00253377" w:rsidRPr="00253377" w:rsidRDefault="00253377" w:rsidP="00253377">
    <w:pPr>
      <w:rPr>
        <w:rFonts w:ascii="Tahoma" w:hAnsi="Tahoma" w:cs="Tahoma"/>
        <w:b/>
        <w:bCs/>
      </w:rPr>
    </w:pPr>
    <w:r w:rsidRPr="00253377">
      <w:rPr>
        <w:rFonts w:ascii="Tahoma" w:hAnsi="Tahoma" w:cs="Tahoma"/>
        <w:b/>
        <w:bCs/>
      </w:rPr>
      <w:t>HGY/2023/</w:t>
    </w:r>
    <w:r w:rsidR="00C44267">
      <w:rPr>
        <w:rFonts w:ascii="Tahoma" w:hAnsi="Tahoma" w:cs="Tahoma"/>
        <w:b/>
        <w:bCs/>
      </w:rPr>
      <w:t>2691</w:t>
    </w:r>
  </w:p>
  <w:p w14:paraId="27466E90" w14:textId="77777777" w:rsidR="00C44267" w:rsidRDefault="00C44267" w:rsidP="00253377">
    <w:pPr>
      <w:rPr>
        <w:rFonts w:ascii="Tahoma" w:hAnsi="Tahoma" w:cs="Tahoma"/>
      </w:rPr>
    </w:pPr>
    <w:r w:rsidRPr="00C44267">
      <w:rPr>
        <w:rFonts w:ascii="Tahoma" w:hAnsi="Tahoma" w:cs="Tahoma"/>
      </w:rPr>
      <w:t>29 Milton Park, Hornsey, London, N6 5QB</w:t>
    </w:r>
  </w:p>
  <w:p w14:paraId="1B54B09E" w14:textId="7E413976"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87C93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B1FA5"/>
    <w:multiLevelType w:val="hybridMultilevel"/>
    <w:tmpl w:val="2448532E"/>
    <w:lvl w:ilvl="0" w:tplc="0809000F">
      <w:start w:val="1"/>
      <w:numFmt w:val="decimal"/>
      <w:lvlText w:val="%1."/>
      <w:lvlJc w:val="left"/>
      <w:pPr>
        <w:ind w:left="6173"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35778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00946"/>
    <w:rsid w:val="00022AB2"/>
    <w:rsid w:val="0003181D"/>
    <w:rsid w:val="0003449F"/>
    <w:rsid w:val="000418C6"/>
    <w:rsid w:val="00047693"/>
    <w:rsid w:val="00055B0E"/>
    <w:rsid w:val="00057AD4"/>
    <w:rsid w:val="0007799D"/>
    <w:rsid w:val="00077A3F"/>
    <w:rsid w:val="0009272F"/>
    <w:rsid w:val="000A52BB"/>
    <w:rsid w:val="000A6C6D"/>
    <w:rsid w:val="00101B3E"/>
    <w:rsid w:val="00105493"/>
    <w:rsid w:val="00121064"/>
    <w:rsid w:val="00124D03"/>
    <w:rsid w:val="001333DD"/>
    <w:rsid w:val="001357B9"/>
    <w:rsid w:val="00144A25"/>
    <w:rsid w:val="00151FFA"/>
    <w:rsid w:val="00152D58"/>
    <w:rsid w:val="00181B57"/>
    <w:rsid w:val="001838E9"/>
    <w:rsid w:val="001A747C"/>
    <w:rsid w:val="001B2B6E"/>
    <w:rsid w:val="001C1A85"/>
    <w:rsid w:val="001E0341"/>
    <w:rsid w:val="001F66B2"/>
    <w:rsid w:val="002144C4"/>
    <w:rsid w:val="002207F4"/>
    <w:rsid w:val="002362E6"/>
    <w:rsid w:val="00250198"/>
    <w:rsid w:val="00253377"/>
    <w:rsid w:val="00264A56"/>
    <w:rsid w:val="00271D7B"/>
    <w:rsid w:val="00276171"/>
    <w:rsid w:val="00283F94"/>
    <w:rsid w:val="002874A4"/>
    <w:rsid w:val="002A2EC9"/>
    <w:rsid w:val="002A3A3E"/>
    <w:rsid w:val="002B6F19"/>
    <w:rsid w:val="002E550F"/>
    <w:rsid w:val="002E5858"/>
    <w:rsid w:val="002E73ED"/>
    <w:rsid w:val="002E7AE5"/>
    <w:rsid w:val="002F796D"/>
    <w:rsid w:val="003036B8"/>
    <w:rsid w:val="00333380"/>
    <w:rsid w:val="00335946"/>
    <w:rsid w:val="0034549A"/>
    <w:rsid w:val="003475F5"/>
    <w:rsid w:val="00364523"/>
    <w:rsid w:val="003710F1"/>
    <w:rsid w:val="00384D3F"/>
    <w:rsid w:val="003A1650"/>
    <w:rsid w:val="003B61E9"/>
    <w:rsid w:val="003C23F9"/>
    <w:rsid w:val="003C6BF0"/>
    <w:rsid w:val="003D306F"/>
    <w:rsid w:val="003D49D6"/>
    <w:rsid w:val="003E3BEA"/>
    <w:rsid w:val="003F7C6C"/>
    <w:rsid w:val="00406F66"/>
    <w:rsid w:val="0041118A"/>
    <w:rsid w:val="00421D87"/>
    <w:rsid w:val="004263A2"/>
    <w:rsid w:val="00473F5A"/>
    <w:rsid w:val="00475B84"/>
    <w:rsid w:val="004937A3"/>
    <w:rsid w:val="004A4F0E"/>
    <w:rsid w:val="004A598B"/>
    <w:rsid w:val="004B3F04"/>
    <w:rsid w:val="004C14F0"/>
    <w:rsid w:val="004C678F"/>
    <w:rsid w:val="004E36ED"/>
    <w:rsid w:val="004F53E1"/>
    <w:rsid w:val="00506B04"/>
    <w:rsid w:val="0051211F"/>
    <w:rsid w:val="00513B80"/>
    <w:rsid w:val="00521361"/>
    <w:rsid w:val="00541DC1"/>
    <w:rsid w:val="00577096"/>
    <w:rsid w:val="00583148"/>
    <w:rsid w:val="00593FEC"/>
    <w:rsid w:val="005A6139"/>
    <w:rsid w:val="005D7FD5"/>
    <w:rsid w:val="005E77DD"/>
    <w:rsid w:val="005F4204"/>
    <w:rsid w:val="005F76B8"/>
    <w:rsid w:val="006042C6"/>
    <w:rsid w:val="006219E8"/>
    <w:rsid w:val="00623ACD"/>
    <w:rsid w:val="00623B26"/>
    <w:rsid w:val="00676280"/>
    <w:rsid w:val="00676E66"/>
    <w:rsid w:val="00693F13"/>
    <w:rsid w:val="006E63C2"/>
    <w:rsid w:val="006F2475"/>
    <w:rsid w:val="00711D83"/>
    <w:rsid w:val="00713D84"/>
    <w:rsid w:val="007218D7"/>
    <w:rsid w:val="00753B75"/>
    <w:rsid w:val="00753FB4"/>
    <w:rsid w:val="007B5125"/>
    <w:rsid w:val="007C04B0"/>
    <w:rsid w:val="007C3C93"/>
    <w:rsid w:val="007E4213"/>
    <w:rsid w:val="007E688C"/>
    <w:rsid w:val="00827660"/>
    <w:rsid w:val="00836A34"/>
    <w:rsid w:val="00847BC0"/>
    <w:rsid w:val="00863CF9"/>
    <w:rsid w:val="008671E1"/>
    <w:rsid w:val="0088083B"/>
    <w:rsid w:val="00883E11"/>
    <w:rsid w:val="00887E89"/>
    <w:rsid w:val="00895542"/>
    <w:rsid w:val="00896155"/>
    <w:rsid w:val="008A3E47"/>
    <w:rsid w:val="008A77E7"/>
    <w:rsid w:val="008C089B"/>
    <w:rsid w:val="008D5EE7"/>
    <w:rsid w:val="008D7D07"/>
    <w:rsid w:val="008E2E9C"/>
    <w:rsid w:val="008E478B"/>
    <w:rsid w:val="008F3D05"/>
    <w:rsid w:val="00917E6B"/>
    <w:rsid w:val="00926452"/>
    <w:rsid w:val="00941C5A"/>
    <w:rsid w:val="00951C9F"/>
    <w:rsid w:val="00955B21"/>
    <w:rsid w:val="00964225"/>
    <w:rsid w:val="00993927"/>
    <w:rsid w:val="009A2302"/>
    <w:rsid w:val="009A2375"/>
    <w:rsid w:val="009D2705"/>
    <w:rsid w:val="00A025C9"/>
    <w:rsid w:val="00A05201"/>
    <w:rsid w:val="00A1442F"/>
    <w:rsid w:val="00A264B9"/>
    <w:rsid w:val="00A35442"/>
    <w:rsid w:val="00A5600E"/>
    <w:rsid w:val="00A61956"/>
    <w:rsid w:val="00A827A1"/>
    <w:rsid w:val="00A87B5C"/>
    <w:rsid w:val="00A91140"/>
    <w:rsid w:val="00A93CB9"/>
    <w:rsid w:val="00A94549"/>
    <w:rsid w:val="00A9550B"/>
    <w:rsid w:val="00AA497E"/>
    <w:rsid w:val="00AA634B"/>
    <w:rsid w:val="00AB0B5C"/>
    <w:rsid w:val="00AB23CD"/>
    <w:rsid w:val="00AB2B31"/>
    <w:rsid w:val="00AC2D27"/>
    <w:rsid w:val="00AD2C96"/>
    <w:rsid w:val="00AD2D0E"/>
    <w:rsid w:val="00AD4A7D"/>
    <w:rsid w:val="00AD5F0A"/>
    <w:rsid w:val="00AF3ECA"/>
    <w:rsid w:val="00B20F5D"/>
    <w:rsid w:val="00B4013D"/>
    <w:rsid w:val="00B41CE0"/>
    <w:rsid w:val="00B44F96"/>
    <w:rsid w:val="00B55784"/>
    <w:rsid w:val="00B738D7"/>
    <w:rsid w:val="00B74A24"/>
    <w:rsid w:val="00BA2B92"/>
    <w:rsid w:val="00BB3B1B"/>
    <w:rsid w:val="00BB5F6F"/>
    <w:rsid w:val="00BC7E1A"/>
    <w:rsid w:val="00BD491C"/>
    <w:rsid w:val="00BE0CA0"/>
    <w:rsid w:val="00BE2A89"/>
    <w:rsid w:val="00BE3472"/>
    <w:rsid w:val="00BF2075"/>
    <w:rsid w:val="00BF3DC9"/>
    <w:rsid w:val="00C01E94"/>
    <w:rsid w:val="00C155B3"/>
    <w:rsid w:val="00C44267"/>
    <w:rsid w:val="00C73B7B"/>
    <w:rsid w:val="00C86F37"/>
    <w:rsid w:val="00C90474"/>
    <w:rsid w:val="00CA69A2"/>
    <w:rsid w:val="00CA69CE"/>
    <w:rsid w:val="00CC1266"/>
    <w:rsid w:val="00CC2283"/>
    <w:rsid w:val="00CD1111"/>
    <w:rsid w:val="00CE2124"/>
    <w:rsid w:val="00CE272C"/>
    <w:rsid w:val="00CF3056"/>
    <w:rsid w:val="00D2235C"/>
    <w:rsid w:val="00D3051B"/>
    <w:rsid w:val="00D52C30"/>
    <w:rsid w:val="00D7505D"/>
    <w:rsid w:val="00D94744"/>
    <w:rsid w:val="00DA6C7E"/>
    <w:rsid w:val="00DC1712"/>
    <w:rsid w:val="00DF62FF"/>
    <w:rsid w:val="00DF7C0D"/>
    <w:rsid w:val="00E11505"/>
    <w:rsid w:val="00E16C27"/>
    <w:rsid w:val="00E34014"/>
    <w:rsid w:val="00E537FF"/>
    <w:rsid w:val="00E63C98"/>
    <w:rsid w:val="00E701ED"/>
    <w:rsid w:val="00EA6596"/>
    <w:rsid w:val="00EB499C"/>
    <w:rsid w:val="00EB5AAC"/>
    <w:rsid w:val="00EC1591"/>
    <w:rsid w:val="00EC20C6"/>
    <w:rsid w:val="00EE3683"/>
    <w:rsid w:val="00F06D8C"/>
    <w:rsid w:val="00F11FAC"/>
    <w:rsid w:val="00F21BD0"/>
    <w:rsid w:val="00F2733A"/>
    <w:rsid w:val="00F31ED8"/>
    <w:rsid w:val="00F5005F"/>
    <w:rsid w:val="00F66E7B"/>
    <w:rsid w:val="00F8483F"/>
    <w:rsid w:val="00F90F01"/>
    <w:rsid w:val="00F9523C"/>
    <w:rsid w:val="00FA2D5E"/>
    <w:rsid w:val="00FB1281"/>
    <w:rsid w:val="00FD4732"/>
    <w:rsid w:val="00FF3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 w:type="paragraph" w:styleId="NoSpacing">
    <w:name w:val="No Spacing"/>
    <w:qFormat/>
    <w:rsid w:val="00FA2D5E"/>
    <w:pPr>
      <w:spacing w:after="0" w:line="240" w:lineRule="auto"/>
    </w:pPr>
    <w:rPr>
      <w:rFonts w:ascii="Calibri" w:eastAsia="Calibri"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3327">
      <w:bodyDiv w:val="1"/>
      <w:marLeft w:val="0"/>
      <w:marRight w:val="0"/>
      <w:marTop w:val="0"/>
      <w:marBottom w:val="0"/>
      <w:divBdr>
        <w:top w:val="none" w:sz="0" w:space="0" w:color="auto"/>
        <w:left w:val="none" w:sz="0" w:space="0" w:color="auto"/>
        <w:bottom w:val="none" w:sz="0" w:space="0" w:color="auto"/>
        <w:right w:val="none" w:sz="0" w:space="0" w:color="auto"/>
      </w:divBdr>
    </w:div>
    <w:div w:id="259070263">
      <w:bodyDiv w:val="1"/>
      <w:marLeft w:val="0"/>
      <w:marRight w:val="0"/>
      <w:marTop w:val="0"/>
      <w:marBottom w:val="0"/>
      <w:divBdr>
        <w:top w:val="none" w:sz="0" w:space="0" w:color="auto"/>
        <w:left w:val="none" w:sz="0" w:space="0" w:color="auto"/>
        <w:bottom w:val="none" w:sz="0" w:space="0" w:color="auto"/>
        <w:right w:val="none" w:sz="0" w:space="0" w:color="auto"/>
      </w:divBdr>
    </w:div>
    <w:div w:id="264382223">
      <w:bodyDiv w:val="1"/>
      <w:marLeft w:val="0"/>
      <w:marRight w:val="0"/>
      <w:marTop w:val="0"/>
      <w:marBottom w:val="0"/>
      <w:divBdr>
        <w:top w:val="none" w:sz="0" w:space="0" w:color="auto"/>
        <w:left w:val="none" w:sz="0" w:space="0" w:color="auto"/>
        <w:bottom w:val="none" w:sz="0" w:space="0" w:color="auto"/>
        <w:right w:val="none" w:sz="0" w:space="0" w:color="auto"/>
      </w:divBdr>
    </w:div>
    <w:div w:id="532232675">
      <w:bodyDiv w:val="1"/>
      <w:marLeft w:val="0"/>
      <w:marRight w:val="0"/>
      <w:marTop w:val="0"/>
      <w:marBottom w:val="0"/>
      <w:divBdr>
        <w:top w:val="none" w:sz="0" w:space="0" w:color="auto"/>
        <w:left w:val="none" w:sz="0" w:space="0" w:color="auto"/>
        <w:bottom w:val="none" w:sz="0" w:space="0" w:color="auto"/>
        <w:right w:val="none" w:sz="0" w:space="0" w:color="auto"/>
      </w:divBdr>
    </w:div>
    <w:div w:id="726952459">
      <w:bodyDiv w:val="1"/>
      <w:marLeft w:val="0"/>
      <w:marRight w:val="0"/>
      <w:marTop w:val="0"/>
      <w:marBottom w:val="0"/>
      <w:divBdr>
        <w:top w:val="none" w:sz="0" w:space="0" w:color="auto"/>
        <w:left w:val="none" w:sz="0" w:space="0" w:color="auto"/>
        <w:bottom w:val="none" w:sz="0" w:space="0" w:color="auto"/>
        <w:right w:val="none" w:sz="0" w:space="0" w:color="auto"/>
      </w:divBdr>
    </w:div>
    <w:div w:id="1010569303">
      <w:bodyDiv w:val="1"/>
      <w:marLeft w:val="0"/>
      <w:marRight w:val="0"/>
      <w:marTop w:val="0"/>
      <w:marBottom w:val="0"/>
      <w:divBdr>
        <w:top w:val="none" w:sz="0" w:space="0" w:color="auto"/>
        <w:left w:val="none" w:sz="0" w:space="0" w:color="auto"/>
        <w:bottom w:val="none" w:sz="0" w:space="0" w:color="auto"/>
        <w:right w:val="none" w:sz="0" w:space="0" w:color="auto"/>
      </w:divBdr>
    </w:div>
    <w:div w:id="190541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3</cp:revision>
  <dcterms:created xsi:type="dcterms:W3CDTF">2023-12-07T12:27:00Z</dcterms:created>
  <dcterms:modified xsi:type="dcterms:W3CDTF">2023-12-07T15:38:00Z</dcterms:modified>
</cp:coreProperties>
</file>