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616D1" w14:textId="77777777" w:rsidR="005024A7" w:rsidRPr="00B47E7F" w:rsidRDefault="005024A7" w:rsidP="005024A7">
      <w:pPr>
        <w:autoSpaceDE w:val="0"/>
        <w:autoSpaceDN w:val="0"/>
        <w:adjustRightInd w:val="0"/>
        <w:spacing w:after="0" w:line="240" w:lineRule="auto"/>
        <w:rPr>
          <w:rFonts w:ascii="Arial" w:hAnsi="Arial" w:cs="Arial"/>
          <w:b/>
          <w:bCs/>
        </w:rPr>
      </w:pPr>
      <w:r w:rsidRPr="00B47E7F">
        <w:rPr>
          <w:rFonts w:ascii="Arial" w:hAnsi="Arial" w:cs="Arial"/>
          <w:b/>
          <w:bCs/>
        </w:rPr>
        <w:t>Heritage</w:t>
      </w:r>
    </w:p>
    <w:p w14:paraId="4A17D6BF" w14:textId="75D26C99" w:rsidR="005024A7" w:rsidRPr="00B47E7F" w:rsidRDefault="005024A7" w:rsidP="005024A7">
      <w:pPr>
        <w:autoSpaceDE w:val="0"/>
        <w:autoSpaceDN w:val="0"/>
        <w:adjustRightInd w:val="0"/>
        <w:spacing w:after="0" w:line="240" w:lineRule="auto"/>
        <w:rPr>
          <w:rFonts w:ascii="Arial" w:hAnsi="Arial" w:cs="Arial"/>
        </w:rPr>
      </w:pPr>
      <w:r w:rsidRPr="00B47E7F">
        <w:rPr>
          <w:rFonts w:ascii="Arial" w:hAnsi="Arial" w:cs="Arial"/>
        </w:rPr>
        <w:t>Objection: The application does not carry out the assessment required by para 194 onwards of the NPPF as to the significance of those assets, the contribution made by their setting and the effect of the development.</w:t>
      </w:r>
    </w:p>
    <w:p w14:paraId="3CE2CF8F" w14:textId="77777777" w:rsidR="005024A7" w:rsidRPr="00B47E7F" w:rsidRDefault="005024A7" w:rsidP="005024A7">
      <w:pPr>
        <w:autoSpaceDE w:val="0"/>
        <w:autoSpaceDN w:val="0"/>
        <w:adjustRightInd w:val="0"/>
        <w:spacing w:after="0" w:line="240" w:lineRule="auto"/>
        <w:rPr>
          <w:rFonts w:ascii="Arial" w:hAnsi="Arial" w:cs="Arial"/>
        </w:rPr>
      </w:pPr>
    </w:p>
    <w:p w14:paraId="14A3410B" w14:textId="74AC12F6" w:rsidR="005024A7" w:rsidRPr="00B47E7F" w:rsidRDefault="005024A7" w:rsidP="005024A7">
      <w:pPr>
        <w:autoSpaceDE w:val="0"/>
        <w:autoSpaceDN w:val="0"/>
        <w:adjustRightInd w:val="0"/>
        <w:spacing w:after="0" w:line="240" w:lineRule="auto"/>
        <w:rPr>
          <w:rFonts w:ascii="Arial" w:hAnsi="Arial" w:cs="Arial"/>
        </w:rPr>
      </w:pPr>
      <w:r w:rsidRPr="00B47E7F">
        <w:rPr>
          <w:rFonts w:ascii="Arial" w:hAnsi="Arial" w:cs="Arial"/>
        </w:rPr>
        <w:t>Response: The revised Heritage Statement submitted on 31 January provides an historical assessment pulling out the significance of the assets, the impact of the development, how issues have been mitigated and concludes “Given the common is the remnant of a much fragmented and reduced series of historic open space and is within a conservation area, it is recognised the proposed MUGA will have an impact on the current nature of the space.  However, this impact is not considered substantial and is outweighed by the public benefit of the scheme.”</w:t>
      </w:r>
    </w:p>
    <w:p w14:paraId="4D261591" w14:textId="77777777" w:rsidR="005024A7" w:rsidRPr="00B47E7F" w:rsidRDefault="005024A7" w:rsidP="005024A7">
      <w:pPr>
        <w:autoSpaceDE w:val="0"/>
        <w:autoSpaceDN w:val="0"/>
        <w:adjustRightInd w:val="0"/>
        <w:spacing w:after="0" w:line="240" w:lineRule="auto"/>
        <w:rPr>
          <w:rFonts w:ascii="Arial" w:hAnsi="Arial" w:cs="Arial"/>
        </w:rPr>
      </w:pPr>
    </w:p>
    <w:p w14:paraId="4AF6DBBE" w14:textId="77777777" w:rsidR="005024A7" w:rsidRPr="00B47E7F" w:rsidRDefault="005024A7" w:rsidP="005024A7">
      <w:pPr>
        <w:autoSpaceDE w:val="0"/>
        <w:autoSpaceDN w:val="0"/>
        <w:adjustRightInd w:val="0"/>
        <w:spacing w:after="0" w:line="240" w:lineRule="auto"/>
        <w:rPr>
          <w:rFonts w:ascii="Arial" w:hAnsi="Arial" w:cs="Arial"/>
          <w:b/>
          <w:bCs/>
        </w:rPr>
      </w:pPr>
      <w:r w:rsidRPr="00B47E7F">
        <w:rPr>
          <w:rFonts w:ascii="Arial" w:hAnsi="Arial" w:cs="Arial"/>
          <w:b/>
          <w:bCs/>
        </w:rPr>
        <w:t>Loss of use of open space</w:t>
      </w:r>
    </w:p>
    <w:p w14:paraId="67414FA4" w14:textId="3DDA3F83" w:rsidR="005024A7" w:rsidRPr="00B47E7F" w:rsidRDefault="005024A7" w:rsidP="005024A7">
      <w:pPr>
        <w:autoSpaceDE w:val="0"/>
        <w:autoSpaceDN w:val="0"/>
        <w:adjustRightInd w:val="0"/>
        <w:spacing w:after="0" w:line="240" w:lineRule="auto"/>
        <w:rPr>
          <w:rFonts w:ascii="Arial" w:hAnsi="Arial" w:cs="Arial"/>
        </w:rPr>
      </w:pPr>
      <w:r w:rsidRPr="00B47E7F">
        <w:rPr>
          <w:rFonts w:ascii="Arial" w:hAnsi="Arial" w:cs="Arial"/>
        </w:rPr>
        <w:t>Objection: one of the main features of the proposed development is a large, 3m high fence which would be significantly detrimental to both the perception of and use of the open space.</w:t>
      </w:r>
    </w:p>
    <w:p w14:paraId="7AB40C00" w14:textId="77777777" w:rsidR="005024A7" w:rsidRPr="00B47E7F" w:rsidRDefault="005024A7" w:rsidP="005024A7">
      <w:pPr>
        <w:autoSpaceDE w:val="0"/>
        <w:autoSpaceDN w:val="0"/>
        <w:adjustRightInd w:val="0"/>
        <w:spacing w:after="0" w:line="240" w:lineRule="auto"/>
        <w:rPr>
          <w:rFonts w:ascii="Arial" w:hAnsi="Arial" w:cs="Arial"/>
        </w:rPr>
      </w:pPr>
    </w:p>
    <w:p w14:paraId="13075FA9" w14:textId="26D65D62" w:rsidR="005024A7" w:rsidRPr="00B47E7F" w:rsidRDefault="005024A7" w:rsidP="005024A7">
      <w:pPr>
        <w:autoSpaceDE w:val="0"/>
        <w:autoSpaceDN w:val="0"/>
        <w:adjustRightInd w:val="0"/>
        <w:spacing w:after="0" w:line="240" w:lineRule="auto"/>
        <w:rPr>
          <w:rFonts w:ascii="Arial" w:hAnsi="Arial" w:cs="Arial"/>
        </w:rPr>
      </w:pPr>
      <w:r w:rsidRPr="00B47E7F">
        <w:rPr>
          <w:rFonts w:ascii="Arial" w:hAnsi="Arial" w:cs="Arial"/>
        </w:rPr>
        <w:t>Response: For the MUGA to operate efficiently an enclosed ball court is necessary to contain and enable ball games and avoid intrusion on the adjacent amenity provision.  The fence specified has been designed by the sports industry to be as visually unobtrusive as possible.  The colour specified is based on research by English landscape designers for estate fencing, with the aim that the colour visually and neutrally blends with the background.  Photographs of the same fence installed elsewhere have been included that show the minimal visual impact the fence will have on the vista.</w:t>
      </w:r>
    </w:p>
    <w:p w14:paraId="2B788CBD" w14:textId="77777777" w:rsidR="005024A7" w:rsidRPr="00B47E7F" w:rsidRDefault="005024A7" w:rsidP="005024A7">
      <w:pPr>
        <w:autoSpaceDE w:val="0"/>
        <w:autoSpaceDN w:val="0"/>
        <w:adjustRightInd w:val="0"/>
        <w:spacing w:after="0" w:line="240" w:lineRule="auto"/>
        <w:rPr>
          <w:rFonts w:ascii="Arial" w:hAnsi="Arial" w:cs="Arial"/>
        </w:rPr>
      </w:pPr>
    </w:p>
    <w:p w14:paraId="4FC7CAB9" w14:textId="32194744" w:rsidR="005024A7" w:rsidRPr="00B47E7F" w:rsidRDefault="005024A7" w:rsidP="005024A7">
      <w:pPr>
        <w:autoSpaceDE w:val="0"/>
        <w:autoSpaceDN w:val="0"/>
        <w:adjustRightInd w:val="0"/>
        <w:spacing w:after="0" w:line="240" w:lineRule="auto"/>
        <w:rPr>
          <w:rFonts w:ascii="Arial" w:hAnsi="Arial" w:cs="Arial"/>
        </w:rPr>
      </w:pPr>
      <w:r w:rsidRPr="00B47E7F">
        <w:rPr>
          <w:rFonts w:ascii="Arial" w:hAnsi="Arial" w:cs="Arial"/>
        </w:rPr>
        <w:t>Objection: The Academy uses Wood Green Common in the summer months, by agreement with the Council, for activities for its pupils. With a significant proportion of the common built upon and enclosed by this development, the Academy considers this would no longer be possible for its purposes.  The loss of space for this use for the community's school age children should at least be acknowledged by the Application and the detriment that the development will cause in this regard should be taken into account in the planning decision.</w:t>
      </w:r>
    </w:p>
    <w:p w14:paraId="5673C4D7" w14:textId="77777777" w:rsidR="005024A7" w:rsidRPr="00B47E7F" w:rsidRDefault="005024A7" w:rsidP="005024A7">
      <w:pPr>
        <w:autoSpaceDE w:val="0"/>
        <w:autoSpaceDN w:val="0"/>
        <w:adjustRightInd w:val="0"/>
        <w:spacing w:after="0" w:line="240" w:lineRule="auto"/>
        <w:rPr>
          <w:rFonts w:ascii="Arial" w:hAnsi="Arial" w:cs="Arial"/>
        </w:rPr>
      </w:pPr>
    </w:p>
    <w:p w14:paraId="3FFFA2F7" w14:textId="5D636A8B" w:rsidR="005024A7" w:rsidRPr="00B47E7F" w:rsidRDefault="005024A7" w:rsidP="00070EBB">
      <w:pPr>
        <w:autoSpaceDE w:val="0"/>
        <w:autoSpaceDN w:val="0"/>
        <w:adjustRightInd w:val="0"/>
        <w:spacing w:after="0" w:line="240" w:lineRule="auto"/>
        <w:rPr>
          <w:rFonts w:ascii="Arial" w:hAnsi="Arial" w:cs="Arial"/>
        </w:rPr>
      </w:pPr>
      <w:r w:rsidRPr="00B47E7F">
        <w:rPr>
          <w:rFonts w:ascii="Arial" w:hAnsi="Arial" w:cs="Arial"/>
        </w:rPr>
        <w:t xml:space="preserve">Response: </w:t>
      </w:r>
      <w:r w:rsidR="00070EBB" w:rsidRPr="00B47E7F">
        <w:rPr>
          <w:rFonts w:ascii="Arial" w:hAnsi="Arial" w:cs="Arial"/>
        </w:rPr>
        <w:t>The size of the MUGA is modest and does not dominate the common, the footprint is 4.5% of the available open space.  The pitch design is significantly smaller than the pitch that was in place in the 1970s, photos show this in situ.  In response to public consultation in the development of this scheme the MUGA has halved in size.  Research with Sport England and the Football Federation has established the smallest court size to facilitate those sports; football, netball, and basketball shooting, that local people and local sports development agencies wanted.  The scheme has been developed following extensive public consultation with strong support for the MUGA as detailed in the statement of community involvement, this is seen as an enhancement of the open space rather than the loss of space.  the supporting interventions, including planting, SUDs etc will improve and increase bio-diversity.</w:t>
      </w:r>
      <w:r w:rsidR="00756819" w:rsidRPr="00B47E7F">
        <w:rPr>
          <w:rFonts w:ascii="Arial" w:hAnsi="Arial" w:cs="Arial"/>
        </w:rPr>
        <w:t xml:space="preserve"> </w:t>
      </w:r>
      <w:r w:rsidR="00FC7F74">
        <w:rPr>
          <w:rFonts w:ascii="Arial" w:hAnsi="Arial" w:cs="Arial"/>
        </w:rPr>
        <w:t xml:space="preserve"> </w:t>
      </w:r>
      <w:r w:rsidR="00756819" w:rsidRPr="00B47E7F">
        <w:rPr>
          <w:rFonts w:ascii="Arial" w:hAnsi="Arial" w:cs="Arial"/>
        </w:rPr>
        <w:t xml:space="preserve">Both primary and secondary school age children were a significant demographic who contributed feedback to the emerging scheme and helped shape it, both at the public consultation events and at workshops delivered at Heartlands Academy, St Paul’s and Alexander Primary Schools.  Young people were vociferous in their support for the MUGA.  </w:t>
      </w:r>
      <w:proofErr w:type="spellStart"/>
      <w:r w:rsidR="00FC7F74">
        <w:rPr>
          <w:rFonts w:ascii="Arial" w:hAnsi="Arial" w:cs="Arial"/>
        </w:rPr>
        <w:t>M</w:t>
      </w:r>
      <w:r w:rsidR="00756819" w:rsidRPr="00B47E7F">
        <w:rPr>
          <w:rFonts w:ascii="Arial" w:hAnsi="Arial" w:cs="Arial"/>
        </w:rPr>
        <w:t>uf</w:t>
      </w:r>
      <w:proofErr w:type="spellEnd"/>
      <w:r w:rsidR="00756819" w:rsidRPr="00B47E7F">
        <w:rPr>
          <w:rFonts w:ascii="Arial" w:hAnsi="Arial" w:cs="Arial"/>
        </w:rPr>
        <w:t xml:space="preserve"> (who established the MUGA design) involved </w:t>
      </w:r>
      <w:r w:rsidR="00E66742" w:rsidRPr="00B47E7F">
        <w:rPr>
          <w:rFonts w:ascii="Arial" w:hAnsi="Arial" w:cs="Arial"/>
        </w:rPr>
        <w:t xml:space="preserve">the Youth Ambassadors </w:t>
      </w:r>
      <w:r w:rsidR="00756819" w:rsidRPr="00B47E7F">
        <w:rPr>
          <w:rFonts w:ascii="Arial" w:hAnsi="Arial" w:cs="Arial"/>
        </w:rPr>
        <w:t xml:space="preserve">from Heartlands Academy in the co-design process and supported them to make a film describing their input and the design outcome, which included the MUGA.  The film was presented at a school assembly at Heartlands Academy.  The </w:t>
      </w:r>
      <w:r w:rsidR="00E66742" w:rsidRPr="00B47E7F">
        <w:rPr>
          <w:rFonts w:ascii="Arial" w:hAnsi="Arial" w:cs="Arial"/>
        </w:rPr>
        <w:t xml:space="preserve">school </w:t>
      </w:r>
      <w:r w:rsidR="00756819" w:rsidRPr="00B47E7F">
        <w:rPr>
          <w:rFonts w:ascii="Arial" w:hAnsi="Arial" w:cs="Arial"/>
        </w:rPr>
        <w:t>co-ordinator for the co-design process was</w:t>
      </w:r>
      <w:r w:rsidR="00E66742" w:rsidRPr="00B47E7F">
        <w:rPr>
          <w:rFonts w:ascii="Arial" w:hAnsi="Arial" w:cs="Arial"/>
        </w:rPr>
        <w:t xml:space="preserve"> Mr Joe </w:t>
      </w:r>
      <w:proofErr w:type="spellStart"/>
      <w:r w:rsidR="00E66742" w:rsidRPr="00B47E7F">
        <w:rPr>
          <w:rFonts w:ascii="Arial" w:hAnsi="Arial" w:cs="Arial"/>
        </w:rPr>
        <w:t>Tousent</w:t>
      </w:r>
      <w:proofErr w:type="spellEnd"/>
      <w:r w:rsidR="00E66742" w:rsidRPr="00B47E7F">
        <w:rPr>
          <w:rFonts w:ascii="Arial" w:hAnsi="Arial" w:cs="Arial"/>
        </w:rPr>
        <w:t>.</w:t>
      </w:r>
    </w:p>
    <w:p w14:paraId="7C298AE8" w14:textId="77777777" w:rsidR="00070EBB" w:rsidRPr="00B47E7F" w:rsidRDefault="00070EBB" w:rsidP="00070EBB">
      <w:pPr>
        <w:autoSpaceDE w:val="0"/>
        <w:autoSpaceDN w:val="0"/>
        <w:adjustRightInd w:val="0"/>
        <w:spacing w:after="0" w:line="240" w:lineRule="auto"/>
        <w:rPr>
          <w:rFonts w:ascii="Arial" w:hAnsi="Arial" w:cs="Arial"/>
        </w:rPr>
      </w:pPr>
    </w:p>
    <w:p w14:paraId="5926A7F5" w14:textId="59747A19" w:rsidR="005024A7" w:rsidRPr="00B47E7F" w:rsidRDefault="005024A7" w:rsidP="005024A7">
      <w:pPr>
        <w:autoSpaceDE w:val="0"/>
        <w:autoSpaceDN w:val="0"/>
        <w:adjustRightInd w:val="0"/>
        <w:spacing w:after="0" w:line="240" w:lineRule="auto"/>
        <w:rPr>
          <w:rFonts w:ascii="Arial" w:hAnsi="Arial" w:cs="Arial"/>
        </w:rPr>
      </w:pPr>
      <w:r w:rsidRPr="00B47E7F">
        <w:rPr>
          <w:rFonts w:ascii="Arial" w:hAnsi="Arial" w:cs="Arial"/>
        </w:rPr>
        <w:t>Section 3 of the DAS states that Wood Green Common is a "small open space". The Haringey</w:t>
      </w:r>
      <w:r w:rsidR="004266CA" w:rsidRPr="00B47E7F">
        <w:rPr>
          <w:rFonts w:ascii="Arial" w:hAnsi="Arial" w:cs="Arial"/>
        </w:rPr>
        <w:t xml:space="preserve"> </w:t>
      </w:r>
      <w:r w:rsidRPr="00B47E7F">
        <w:rPr>
          <w:rFonts w:ascii="Arial" w:hAnsi="Arial" w:cs="Arial"/>
        </w:rPr>
        <w:t>Heartlands Development Framework states of Wood Green Common that it is the only ‘key open</w:t>
      </w:r>
      <w:r w:rsidR="004266CA" w:rsidRPr="00B47E7F">
        <w:rPr>
          <w:rFonts w:ascii="Arial" w:hAnsi="Arial" w:cs="Arial"/>
        </w:rPr>
        <w:t xml:space="preserve"> </w:t>
      </w:r>
      <w:r w:rsidRPr="00B47E7F">
        <w:rPr>
          <w:rFonts w:ascii="Arial" w:hAnsi="Arial" w:cs="Arial"/>
        </w:rPr>
        <w:t xml:space="preserve">space’ in the Haringey Heartlands Action Area. One of the "Objectives" is "to </w:t>
      </w:r>
      <w:r w:rsidRPr="00B47E7F">
        <w:rPr>
          <w:rFonts w:ascii="Arial" w:hAnsi="Arial" w:cs="Arial"/>
        </w:rPr>
        <w:lastRenderedPageBreak/>
        <w:t>protect and enhance</w:t>
      </w:r>
      <w:r w:rsidR="004266CA" w:rsidRPr="00B47E7F">
        <w:rPr>
          <w:rFonts w:ascii="Arial" w:hAnsi="Arial" w:cs="Arial"/>
        </w:rPr>
        <w:t xml:space="preserve"> </w:t>
      </w:r>
      <w:r w:rsidRPr="00B47E7F">
        <w:rPr>
          <w:rFonts w:ascii="Arial" w:hAnsi="Arial" w:cs="Arial"/>
        </w:rPr>
        <w:t>Wood Green Common for the enjoyment of the community in partnership with the Guardians of</w:t>
      </w:r>
      <w:r w:rsidR="004266CA" w:rsidRPr="00B47E7F">
        <w:rPr>
          <w:rFonts w:ascii="Arial" w:hAnsi="Arial" w:cs="Arial"/>
        </w:rPr>
        <w:t xml:space="preserve"> </w:t>
      </w:r>
      <w:r w:rsidRPr="00B47E7F">
        <w:rPr>
          <w:rFonts w:ascii="Arial" w:hAnsi="Arial" w:cs="Arial"/>
        </w:rPr>
        <w:t>Wood Green Common Residents Association and which protects its status as a ‘Town Green’".</w:t>
      </w:r>
      <w:r w:rsidR="004266CA" w:rsidRPr="00B47E7F">
        <w:rPr>
          <w:rFonts w:ascii="Arial" w:hAnsi="Arial" w:cs="Arial"/>
        </w:rPr>
        <w:t xml:space="preserve">  </w:t>
      </w:r>
      <w:r w:rsidRPr="00B47E7F">
        <w:rPr>
          <w:rFonts w:ascii="Arial" w:hAnsi="Arial" w:cs="Arial"/>
        </w:rPr>
        <w:t>There is no discussion in the DAS, beyond acknowledging that it is a Town Green, that by fencing off</w:t>
      </w:r>
      <w:r w:rsidR="004266CA" w:rsidRPr="00B47E7F">
        <w:rPr>
          <w:rFonts w:ascii="Arial" w:hAnsi="Arial" w:cs="Arial"/>
        </w:rPr>
        <w:t xml:space="preserve"> </w:t>
      </w:r>
      <w:r w:rsidRPr="00B47E7F">
        <w:rPr>
          <w:rFonts w:ascii="Arial" w:hAnsi="Arial" w:cs="Arial"/>
        </w:rPr>
        <w:t>part of the common, this may have an effect on the protections afforded by town green status. As</w:t>
      </w:r>
      <w:r w:rsidR="004266CA" w:rsidRPr="00B47E7F">
        <w:rPr>
          <w:rFonts w:ascii="Arial" w:hAnsi="Arial" w:cs="Arial"/>
        </w:rPr>
        <w:t xml:space="preserve"> </w:t>
      </w:r>
      <w:r w:rsidRPr="00B47E7F">
        <w:rPr>
          <w:rFonts w:ascii="Arial" w:hAnsi="Arial" w:cs="Arial"/>
        </w:rPr>
        <w:t>the only significant open space in the Haringey Heartlands Action Area, Wood Green Common ought</w:t>
      </w:r>
      <w:r w:rsidR="004266CA" w:rsidRPr="00B47E7F">
        <w:rPr>
          <w:rFonts w:ascii="Arial" w:hAnsi="Arial" w:cs="Arial"/>
        </w:rPr>
        <w:t xml:space="preserve"> </w:t>
      </w:r>
      <w:r w:rsidRPr="00B47E7F">
        <w:rPr>
          <w:rFonts w:ascii="Arial" w:hAnsi="Arial" w:cs="Arial"/>
        </w:rPr>
        <w:t>to be afforded greater protection against development.</w:t>
      </w:r>
    </w:p>
    <w:p w14:paraId="1C67FB0D" w14:textId="77777777" w:rsidR="00756819" w:rsidRPr="00B47E7F" w:rsidRDefault="00756819" w:rsidP="005024A7">
      <w:pPr>
        <w:autoSpaceDE w:val="0"/>
        <w:autoSpaceDN w:val="0"/>
        <w:adjustRightInd w:val="0"/>
        <w:spacing w:after="0" w:line="240" w:lineRule="auto"/>
        <w:rPr>
          <w:rFonts w:ascii="Arial" w:hAnsi="Arial" w:cs="Arial"/>
        </w:rPr>
      </w:pPr>
    </w:p>
    <w:p w14:paraId="2E0A2945" w14:textId="26C09CD2" w:rsidR="00E66742" w:rsidRPr="00B47E7F" w:rsidRDefault="00E66742" w:rsidP="005024A7">
      <w:pPr>
        <w:autoSpaceDE w:val="0"/>
        <w:autoSpaceDN w:val="0"/>
        <w:adjustRightInd w:val="0"/>
        <w:spacing w:after="0" w:line="240" w:lineRule="auto"/>
        <w:rPr>
          <w:rFonts w:ascii="Arial" w:hAnsi="Arial" w:cs="Arial"/>
        </w:rPr>
      </w:pPr>
      <w:r w:rsidRPr="00B47E7F">
        <w:rPr>
          <w:rFonts w:ascii="Arial" w:hAnsi="Arial" w:cs="Arial"/>
        </w:rPr>
        <w:t>Response: The size of the MUGA is modest and does not dominate the common, the footprint is 4.5% of the available open space.  The Open Space Society, a campaign group set up in 1865 to protect open spaces</w:t>
      </w:r>
      <w:r w:rsidR="00B47E7F" w:rsidRPr="00B47E7F">
        <w:rPr>
          <w:rFonts w:ascii="Arial" w:hAnsi="Arial" w:cs="Arial"/>
        </w:rPr>
        <w:t xml:space="preserve"> </w:t>
      </w:r>
      <w:r w:rsidRPr="00B47E7F">
        <w:rPr>
          <w:rFonts w:ascii="Arial" w:hAnsi="Arial" w:cs="Arial"/>
        </w:rPr>
        <w:t>including Town Greens and with extensive expertis</w:t>
      </w:r>
      <w:r w:rsidR="00BB6BF8" w:rsidRPr="00B47E7F">
        <w:rPr>
          <w:rFonts w:ascii="Arial" w:hAnsi="Arial" w:cs="Arial"/>
        </w:rPr>
        <w:t xml:space="preserve">e in planning law, advises, </w:t>
      </w:r>
      <w:r w:rsidR="00BB6BF8" w:rsidRPr="00B47E7F">
        <w:rPr>
          <w:rFonts w:ascii="Arial" w:hAnsi="Arial" w:cs="Arial"/>
          <w:i/>
          <w:iCs/>
          <w:color w:val="5E6168"/>
          <w:shd w:val="clear" w:color="auto" w:fill="FFFFFF"/>
        </w:rPr>
        <w:t>an offence under the legislation is only committed where the encroachment or activity is made 'otherwise than with a view to the better enjoyment of the green'. In general the provision of facilities to assist in the enjoyment of recreation such as goal posts, children’s playground, seats etc, would not be a breach of the protective legislation</w:t>
      </w:r>
      <w:r w:rsidRPr="00B47E7F">
        <w:rPr>
          <w:rFonts w:ascii="Arial" w:hAnsi="Arial" w:cs="Arial"/>
        </w:rPr>
        <w:t>.</w:t>
      </w:r>
      <w:r w:rsidR="004645CF" w:rsidRPr="00B47E7F">
        <w:rPr>
          <w:rFonts w:ascii="Arial" w:hAnsi="Arial" w:cs="Arial"/>
        </w:rPr>
        <w:t xml:space="preserve">  The MUGA design is in response to feedback from a significant majority of those who responded during the engagement process and therefore meets the objectives for a Town Green to provide ‘enjoyment for the community’.</w:t>
      </w:r>
    </w:p>
    <w:p w14:paraId="734893D5" w14:textId="77777777" w:rsidR="00756819" w:rsidRPr="00B47E7F" w:rsidRDefault="00756819" w:rsidP="005024A7">
      <w:pPr>
        <w:autoSpaceDE w:val="0"/>
        <w:autoSpaceDN w:val="0"/>
        <w:adjustRightInd w:val="0"/>
        <w:spacing w:after="0" w:line="240" w:lineRule="auto"/>
        <w:rPr>
          <w:rFonts w:ascii="Arial" w:hAnsi="Arial" w:cs="Arial"/>
        </w:rPr>
      </w:pPr>
    </w:p>
    <w:p w14:paraId="08518172" w14:textId="288CB19C" w:rsidR="005024A7" w:rsidRPr="00B47E7F" w:rsidRDefault="00070EBB" w:rsidP="005024A7">
      <w:pPr>
        <w:autoSpaceDE w:val="0"/>
        <w:autoSpaceDN w:val="0"/>
        <w:adjustRightInd w:val="0"/>
        <w:spacing w:after="0" w:line="240" w:lineRule="auto"/>
        <w:rPr>
          <w:rFonts w:ascii="Arial" w:hAnsi="Arial" w:cs="Arial"/>
        </w:rPr>
      </w:pPr>
      <w:r w:rsidRPr="00B47E7F">
        <w:rPr>
          <w:rFonts w:ascii="Arial" w:hAnsi="Arial" w:cs="Arial"/>
        </w:rPr>
        <w:t xml:space="preserve">Objection: </w:t>
      </w:r>
      <w:r w:rsidR="005024A7" w:rsidRPr="00B47E7F">
        <w:rPr>
          <w:rFonts w:ascii="Arial" w:hAnsi="Arial" w:cs="Arial"/>
        </w:rPr>
        <w:t>The DAS states that the amenity value of the Common is low. This overlooks the importance of open</w:t>
      </w:r>
      <w:r w:rsidRPr="00B47E7F">
        <w:rPr>
          <w:rFonts w:ascii="Arial" w:hAnsi="Arial" w:cs="Arial"/>
        </w:rPr>
        <w:t xml:space="preserve"> </w:t>
      </w:r>
      <w:r w:rsidR="005024A7" w:rsidRPr="00B47E7F">
        <w:rPr>
          <w:rFonts w:ascii="Arial" w:hAnsi="Arial" w:cs="Arial"/>
        </w:rPr>
        <w:t>space for use by the public (including the Academy for activities) and the benefit of open views</w:t>
      </w:r>
      <w:r w:rsidRPr="00B47E7F">
        <w:rPr>
          <w:rFonts w:ascii="Arial" w:hAnsi="Arial" w:cs="Arial"/>
        </w:rPr>
        <w:t xml:space="preserve"> </w:t>
      </w:r>
      <w:r w:rsidR="005024A7" w:rsidRPr="00B47E7F">
        <w:rPr>
          <w:rFonts w:ascii="Arial" w:hAnsi="Arial" w:cs="Arial"/>
        </w:rPr>
        <w:t xml:space="preserve">across it. </w:t>
      </w:r>
      <w:r w:rsidR="00F05BB0" w:rsidRPr="00B47E7F">
        <w:rPr>
          <w:rFonts w:ascii="Arial" w:hAnsi="Arial" w:cs="Arial"/>
        </w:rPr>
        <w:t xml:space="preserve"> </w:t>
      </w:r>
      <w:r w:rsidR="005024A7" w:rsidRPr="00B47E7F">
        <w:rPr>
          <w:rFonts w:ascii="Arial" w:hAnsi="Arial" w:cs="Arial"/>
        </w:rPr>
        <w:t>With the scale of the development, it would arguably cease to be a 'common' in nature.</w:t>
      </w:r>
    </w:p>
    <w:p w14:paraId="193DBE77" w14:textId="77777777" w:rsidR="00F05BB0" w:rsidRPr="00B47E7F" w:rsidRDefault="00F05BB0" w:rsidP="005024A7">
      <w:pPr>
        <w:autoSpaceDE w:val="0"/>
        <w:autoSpaceDN w:val="0"/>
        <w:adjustRightInd w:val="0"/>
        <w:spacing w:after="0" w:line="240" w:lineRule="auto"/>
        <w:rPr>
          <w:rFonts w:ascii="Arial" w:hAnsi="Arial" w:cs="Arial"/>
        </w:rPr>
      </w:pPr>
    </w:p>
    <w:p w14:paraId="05231EDF" w14:textId="264C0351" w:rsidR="00F05BB0" w:rsidRPr="00B47E7F" w:rsidRDefault="00F05BB0" w:rsidP="00F05BB0">
      <w:pPr>
        <w:autoSpaceDE w:val="0"/>
        <w:autoSpaceDN w:val="0"/>
        <w:adjustRightInd w:val="0"/>
        <w:spacing w:after="0" w:line="240" w:lineRule="auto"/>
        <w:rPr>
          <w:rFonts w:ascii="Arial" w:hAnsi="Arial" w:cs="Arial"/>
        </w:rPr>
      </w:pPr>
      <w:r w:rsidRPr="00B47E7F">
        <w:rPr>
          <w:rFonts w:ascii="Arial" w:hAnsi="Arial" w:cs="Arial"/>
        </w:rPr>
        <w:t xml:space="preserve">Response: Wood Green Common has evolved as a resource for local people, from an agrarian landscape to an amenity landscape.  The nature of the Common has changed throughout its history as it has served different needs in the shift from a rural to a suburban and now a densely urban neighbourhood.  As the neighbourhood becomes more densely populated open spaces </w:t>
      </w:r>
      <w:r w:rsidR="00FF30EF" w:rsidRPr="00B47E7F">
        <w:rPr>
          <w:rFonts w:ascii="Arial" w:hAnsi="Arial" w:cs="Arial"/>
        </w:rPr>
        <w:t>must</w:t>
      </w:r>
      <w:r w:rsidRPr="00B47E7F">
        <w:rPr>
          <w:rFonts w:ascii="Arial" w:hAnsi="Arial" w:cs="Arial"/>
        </w:rPr>
        <w:t xml:space="preserve"> provide more opportunities for sport, recreation and repose for greater numbers of people.</w:t>
      </w:r>
    </w:p>
    <w:p w14:paraId="0B84FBDD" w14:textId="77777777" w:rsidR="00F05BB0" w:rsidRPr="00B47E7F" w:rsidRDefault="00F05BB0" w:rsidP="00F05BB0">
      <w:pPr>
        <w:autoSpaceDE w:val="0"/>
        <w:autoSpaceDN w:val="0"/>
        <w:adjustRightInd w:val="0"/>
        <w:spacing w:after="0" w:line="240" w:lineRule="auto"/>
        <w:rPr>
          <w:rFonts w:ascii="Arial" w:hAnsi="Arial" w:cs="Arial"/>
        </w:rPr>
      </w:pPr>
    </w:p>
    <w:p w14:paraId="7F064BBD" w14:textId="4D2806ED" w:rsidR="00F05BB0" w:rsidRPr="00B47E7F" w:rsidRDefault="00F05BB0" w:rsidP="00F05BB0">
      <w:pPr>
        <w:autoSpaceDE w:val="0"/>
        <w:autoSpaceDN w:val="0"/>
        <w:adjustRightInd w:val="0"/>
        <w:spacing w:after="0" w:line="240" w:lineRule="auto"/>
        <w:rPr>
          <w:rFonts w:ascii="Arial" w:hAnsi="Arial" w:cs="Arial"/>
        </w:rPr>
      </w:pPr>
      <w:r w:rsidRPr="00B47E7F">
        <w:rPr>
          <w:rFonts w:ascii="Arial" w:hAnsi="Arial" w:cs="Arial"/>
        </w:rPr>
        <w:t>The MUGA is designed to work with the contours of the landscape and be as unobtrusive as possible.  The Common is on a shallow slope falling from the northwest corner to the southeast.  A ball court needs a level surface and the MUGA is cut into the landscape and steps down approximately a metre to meet the landscape at grade at the southeast side.</w:t>
      </w:r>
    </w:p>
    <w:p w14:paraId="12FDF8D7" w14:textId="77777777" w:rsidR="00F05BB0" w:rsidRPr="00B47E7F" w:rsidRDefault="00F05BB0" w:rsidP="00F05BB0">
      <w:pPr>
        <w:autoSpaceDE w:val="0"/>
        <w:autoSpaceDN w:val="0"/>
        <w:adjustRightInd w:val="0"/>
        <w:spacing w:after="0" w:line="240" w:lineRule="auto"/>
        <w:rPr>
          <w:rFonts w:ascii="Arial" w:hAnsi="Arial" w:cs="Arial"/>
        </w:rPr>
      </w:pPr>
    </w:p>
    <w:p w14:paraId="2A6B36AC" w14:textId="139E9D66" w:rsidR="00F05BB0" w:rsidRPr="00B47E7F" w:rsidRDefault="00F05BB0" w:rsidP="00F05BB0">
      <w:pPr>
        <w:autoSpaceDE w:val="0"/>
        <w:autoSpaceDN w:val="0"/>
        <w:adjustRightInd w:val="0"/>
        <w:spacing w:after="0" w:line="240" w:lineRule="auto"/>
        <w:rPr>
          <w:rFonts w:ascii="Arial" w:hAnsi="Arial" w:cs="Arial"/>
        </w:rPr>
      </w:pPr>
      <w:r w:rsidRPr="00B47E7F">
        <w:rPr>
          <w:rFonts w:ascii="Arial" w:hAnsi="Arial" w:cs="Arial"/>
        </w:rPr>
        <w:t>To minimise the height of the cut the MUGA is oriented broad side on to the slope.  To ensure the Common retains a naturalised quality the retaining walls are formed of uncut stone slabs with a set of access steps and a DDA compliant ramp retain the earth and give full access for wheelchairs and those with walking aids on the long northwest side.  The pitch surface is integrated into the common wide sustainable drainage system and is fully porous with below ground drainage layers, sloping to the swale network that runs along the south side of the MUGA.</w:t>
      </w:r>
    </w:p>
    <w:p w14:paraId="242521D5" w14:textId="77777777" w:rsidR="00F05BB0" w:rsidRPr="00B47E7F" w:rsidRDefault="00F05BB0" w:rsidP="00F05BB0">
      <w:pPr>
        <w:autoSpaceDE w:val="0"/>
        <w:autoSpaceDN w:val="0"/>
        <w:adjustRightInd w:val="0"/>
        <w:spacing w:after="0" w:line="240" w:lineRule="auto"/>
        <w:rPr>
          <w:rFonts w:ascii="Arial" w:hAnsi="Arial" w:cs="Arial"/>
        </w:rPr>
      </w:pPr>
    </w:p>
    <w:p w14:paraId="1D7D4189" w14:textId="6704A84D" w:rsidR="005024A7" w:rsidRPr="00B47E7F" w:rsidRDefault="00F05BB0" w:rsidP="005024A7">
      <w:pPr>
        <w:autoSpaceDE w:val="0"/>
        <w:autoSpaceDN w:val="0"/>
        <w:adjustRightInd w:val="0"/>
        <w:spacing w:after="0" w:line="240" w:lineRule="auto"/>
        <w:rPr>
          <w:rFonts w:ascii="Arial" w:hAnsi="Arial" w:cs="Arial"/>
        </w:rPr>
      </w:pPr>
      <w:r w:rsidRPr="00B47E7F">
        <w:rPr>
          <w:rFonts w:ascii="Arial" w:hAnsi="Arial" w:cs="Arial"/>
        </w:rPr>
        <w:t xml:space="preserve">Objection: </w:t>
      </w:r>
      <w:r w:rsidR="005024A7" w:rsidRPr="00B47E7F">
        <w:rPr>
          <w:rFonts w:ascii="Arial" w:hAnsi="Arial" w:cs="Arial"/>
        </w:rPr>
        <w:t>The DAS has very little text addressing the operation of the MUGA save mention of "smart access" at</w:t>
      </w:r>
      <w:r w:rsidRPr="00B47E7F">
        <w:rPr>
          <w:rFonts w:ascii="Arial" w:hAnsi="Arial" w:cs="Arial"/>
        </w:rPr>
        <w:t xml:space="preserve"> </w:t>
      </w:r>
      <w:r w:rsidR="005024A7" w:rsidRPr="00B47E7F">
        <w:rPr>
          <w:rFonts w:ascii="Arial" w:hAnsi="Arial" w:cs="Arial"/>
        </w:rPr>
        <w:t>the end. It is assumed therefore that with floodlighting as well, that access will not be freely</w:t>
      </w:r>
      <w:r w:rsidRPr="00B47E7F">
        <w:rPr>
          <w:rFonts w:ascii="Arial" w:hAnsi="Arial" w:cs="Arial"/>
        </w:rPr>
        <w:t xml:space="preserve"> </w:t>
      </w:r>
      <w:r w:rsidR="005024A7" w:rsidRPr="00B47E7F">
        <w:rPr>
          <w:rFonts w:ascii="Arial" w:hAnsi="Arial" w:cs="Arial"/>
        </w:rPr>
        <w:t>available to the public but will require booking and presumably payment. These issues have not</w:t>
      </w:r>
      <w:r w:rsidRPr="00B47E7F">
        <w:rPr>
          <w:rFonts w:ascii="Arial" w:hAnsi="Arial" w:cs="Arial"/>
        </w:rPr>
        <w:t xml:space="preserve"> </w:t>
      </w:r>
      <w:r w:rsidR="005024A7" w:rsidRPr="00B47E7F">
        <w:rPr>
          <w:rFonts w:ascii="Arial" w:hAnsi="Arial" w:cs="Arial"/>
        </w:rPr>
        <w:t>been discussed as to the effect they will have on the open space.</w:t>
      </w:r>
    </w:p>
    <w:p w14:paraId="48AF066E" w14:textId="77777777" w:rsidR="00F05BB0" w:rsidRPr="00B47E7F" w:rsidRDefault="00F05BB0" w:rsidP="005024A7">
      <w:pPr>
        <w:autoSpaceDE w:val="0"/>
        <w:autoSpaceDN w:val="0"/>
        <w:adjustRightInd w:val="0"/>
        <w:spacing w:after="0" w:line="240" w:lineRule="auto"/>
        <w:rPr>
          <w:rFonts w:ascii="Arial" w:hAnsi="Arial" w:cs="Arial"/>
        </w:rPr>
      </w:pPr>
    </w:p>
    <w:p w14:paraId="1264FFFC" w14:textId="04E490C5" w:rsidR="00F05BB0" w:rsidRPr="00B47E7F" w:rsidRDefault="00F05BB0" w:rsidP="00F05BB0">
      <w:pPr>
        <w:autoSpaceDE w:val="0"/>
        <w:autoSpaceDN w:val="0"/>
        <w:adjustRightInd w:val="0"/>
        <w:spacing w:after="0" w:line="240" w:lineRule="auto"/>
        <w:rPr>
          <w:rFonts w:ascii="Arial" w:hAnsi="Arial" w:cs="Arial"/>
        </w:rPr>
      </w:pPr>
      <w:r w:rsidRPr="00B47E7F">
        <w:rPr>
          <w:rFonts w:ascii="Arial" w:hAnsi="Arial" w:cs="Arial"/>
        </w:rPr>
        <w:t>Response: The court will be operational all the year round and lighting is necessary in the winter months to enable use after school between October and March.  The lights will not be used after 10pm and when the court is not in use the lights will automatically turn off.</w:t>
      </w:r>
    </w:p>
    <w:p w14:paraId="414C43FA" w14:textId="77777777" w:rsidR="00F05BB0" w:rsidRDefault="00F05BB0" w:rsidP="005024A7">
      <w:pPr>
        <w:autoSpaceDE w:val="0"/>
        <w:autoSpaceDN w:val="0"/>
        <w:adjustRightInd w:val="0"/>
        <w:spacing w:after="0" w:line="240" w:lineRule="auto"/>
        <w:rPr>
          <w:rFonts w:ascii="Arial" w:hAnsi="Arial" w:cs="Arial"/>
        </w:rPr>
      </w:pPr>
    </w:p>
    <w:p w14:paraId="460C92CF" w14:textId="77777777" w:rsidR="00FC7F74" w:rsidRPr="00B47E7F" w:rsidRDefault="00FC7F74" w:rsidP="005024A7">
      <w:pPr>
        <w:autoSpaceDE w:val="0"/>
        <w:autoSpaceDN w:val="0"/>
        <w:adjustRightInd w:val="0"/>
        <w:spacing w:after="0" w:line="240" w:lineRule="auto"/>
        <w:rPr>
          <w:rFonts w:ascii="Arial" w:hAnsi="Arial" w:cs="Arial"/>
        </w:rPr>
      </w:pPr>
    </w:p>
    <w:p w14:paraId="05DDA7F1" w14:textId="77777777" w:rsidR="005024A7" w:rsidRPr="00B47E7F" w:rsidRDefault="005024A7" w:rsidP="005024A7">
      <w:pPr>
        <w:autoSpaceDE w:val="0"/>
        <w:autoSpaceDN w:val="0"/>
        <w:adjustRightInd w:val="0"/>
        <w:spacing w:after="0" w:line="240" w:lineRule="auto"/>
        <w:rPr>
          <w:rFonts w:ascii="Arial" w:hAnsi="Arial" w:cs="Arial"/>
          <w:b/>
          <w:bCs/>
        </w:rPr>
      </w:pPr>
      <w:r w:rsidRPr="00B47E7F">
        <w:rPr>
          <w:rFonts w:ascii="Arial" w:hAnsi="Arial" w:cs="Arial"/>
          <w:b/>
          <w:bCs/>
        </w:rPr>
        <w:lastRenderedPageBreak/>
        <w:t>Anti-social behaviour</w:t>
      </w:r>
    </w:p>
    <w:p w14:paraId="1BF16CA4" w14:textId="6A2EA1E9" w:rsidR="005024A7" w:rsidRPr="00B47E7F" w:rsidRDefault="005024A7" w:rsidP="005024A7">
      <w:pPr>
        <w:autoSpaceDE w:val="0"/>
        <w:autoSpaceDN w:val="0"/>
        <w:adjustRightInd w:val="0"/>
        <w:spacing w:after="0" w:line="240" w:lineRule="auto"/>
        <w:rPr>
          <w:rFonts w:ascii="Arial" w:hAnsi="Arial" w:cs="Arial"/>
        </w:rPr>
      </w:pPr>
      <w:r w:rsidRPr="00B47E7F">
        <w:rPr>
          <w:rFonts w:ascii="Arial" w:hAnsi="Arial" w:cs="Arial"/>
        </w:rPr>
        <w:t>Policy DM2 is addressed on p4 of the DAS. The conclusion is reached that the development</w:t>
      </w:r>
      <w:r w:rsidR="004266CA" w:rsidRPr="00B47E7F">
        <w:rPr>
          <w:rFonts w:ascii="Arial" w:hAnsi="Arial" w:cs="Arial"/>
        </w:rPr>
        <w:t xml:space="preserve"> </w:t>
      </w:r>
      <w:r w:rsidRPr="00B47E7F">
        <w:rPr>
          <w:rFonts w:ascii="Arial" w:hAnsi="Arial" w:cs="Arial"/>
        </w:rPr>
        <w:t>addresses anti-social behaviour, there is natural surveillance and opportunities for interaction. There</w:t>
      </w:r>
      <w:r w:rsidR="004266CA" w:rsidRPr="00B47E7F">
        <w:rPr>
          <w:rFonts w:ascii="Arial" w:hAnsi="Arial" w:cs="Arial"/>
        </w:rPr>
        <w:t xml:space="preserve"> </w:t>
      </w:r>
      <w:r w:rsidRPr="00B47E7F">
        <w:rPr>
          <w:rFonts w:ascii="Arial" w:hAnsi="Arial" w:cs="Arial"/>
        </w:rPr>
        <w:t>is no discussion in the DAS as to what elements of the proposed development contribute to these</w:t>
      </w:r>
      <w:r w:rsidR="004266CA" w:rsidRPr="00B47E7F">
        <w:rPr>
          <w:rFonts w:ascii="Arial" w:hAnsi="Arial" w:cs="Arial"/>
        </w:rPr>
        <w:t xml:space="preserve"> </w:t>
      </w:r>
      <w:r w:rsidRPr="00B47E7F">
        <w:rPr>
          <w:rFonts w:ascii="Arial" w:hAnsi="Arial" w:cs="Arial"/>
        </w:rPr>
        <w:t>conclusions. What differentiates this scheme from a poorly designed or located scheme where the</w:t>
      </w:r>
      <w:r w:rsidR="004266CA" w:rsidRPr="00B47E7F">
        <w:rPr>
          <w:rFonts w:ascii="Arial" w:hAnsi="Arial" w:cs="Arial"/>
        </w:rPr>
        <w:t xml:space="preserve"> </w:t>
      </w:r>
      <w:r w:rsidRPr="00B47E7F">
        <w:rPr>
          <w:rFonts w:ascii="Arial" w:hAnsi="Arial" w:cs="Arial"/>
        </w:rPr>
        <w:t>MUGA just leads to gatherings, particularly after dark, leading to anti-social behaviour?</w:t>
      </w:r>
    </w:p>
    <w:p w14:paraId="7F892701" w14:textId="77777777" w:rsidR="004266CA" w:rsidRPr="00B47E7F" w:rsidRDefault="004266CA" w:rsidP="005024A7">
      <w:pPr>
        <w:autoSpaceDE w:val="0"/>
        <w:autoSpaceDN w:val="0"/>
        <w:adjustRightInd w:val="0"/>
        <w:spacing w:after="0" w:line="240" w:lineRule="auto"/>
        <w:rPr>
          <w:rFonts w:ascii="Arial" w:hAnsi="Arial" w:cs="Arial"/>
        </w:rPr>
      </w:pPr>
    </w:p>
    <w:p w14:paraId="38A8DA90" w14:textId="444C1D6F" w:rsidR="005024A7" w:rsidRPr="00B47E7F" w:rsidRDefault="005024A7" w:rsidP="005024A7">
      <w:pPr>
        <w:autoSpaceDE w:val="0"/>
        <w:autoSpaceDN w:val="0"/>
        <w:adjustRightInd w:val="0"/>
        <w:spacing w:after="0" w:line="240" w:lineRule="auto"/>
        <w:rPr>
          <w:rFonts w:ascii="Arial" w:hAnsi="Arial" w:cs="Arial"/>
        </w:rPr>
      </w:pPr>
      <w:r w:rsidRPr="00B47E7F">
        <w:rPr>
          <w:rFonts w:ascii="Arial" w:hAnsi="Arial" w:cs="Arial"/>
        </w:rPr>
        <w:t>There is nothing in the maintenance and operations section, or the design elements, of the DAS to</w:t>
      </w:r>
      <w:r w:rsidR="004266CA" w:rsidRPr="00B47E7F">
        <w:rPr>
          <w:rFonts w:ascii="Arial" w:hAnsi="Arial" w:cs="Arial"/>
        </w:rPr>
        <w:t xml:space="preserve"> </w:t>
      </w:r>
      <w:r w:rsidRPr="00B47E7F">
        <w:rPr>
          <w:rFonts w:ascii="Arial" w:hAnsi="Arial" w:cs="Arial"/>
        </w:rPr>
        <w:t>suggest that specific actions have been or will be taken to make this development safe.</w:t>
      </w:r>
      <w:r w:rsidR="004266CA" w:rsidRPr="00B47E7F">
        <w:rPr>
          <w:rFonts w:ascii="Arial" w:hAnsi="Arial" w:cs="Arial"/>
        </w:rPr>
        <w:t xml:space="preserve">  </w:t>
      </w:r>
      <w:r w:rsidRPr="00B47E7F">
        <w:rPr>
          <w:rFonts w:ascii="Arial" w:hAnsi="Arial" w:cs="Arial"/>
        </w:rPr>
        <w:t>This element is of particular importance to the Academy owing to its duty of care to its pupils and</w:t>
      </w:r>
      <w:r w:rsidR="004266CA" w:rsidRPr="00B47E7F">
        <w:rPr>
          <w:rFonts w:ascii="Arial" w:hAnsi="Arial" w:cs="Arial"/>
        </w:rPr>
        <w:t xml:space="preserve"> </w:t>
      </w:r>
      <w:r w:rsidRPr="00B47E7F">
        <w:rPr>
          <w:rFonts w:ascii="Arial" w:hAnsi="Arial" w:cs="Arial"/>
        </w:rPr>
        <w:t>the need to work towards a safe location for the school in the surrounding area.</w:t>
      </w:r>
    </w:p>
    <w:p w14:paraId="4E45E85F" w14:textId="77777777" w:rsidR="00874C6B" w:rsidRPr="00B47E7F" w:rsidRDefault="00874C6B" w:rsidP="005024A7">
      <w:pPr>
        <w:autoSpaceDE w:val="0"/>
        <w:autoSpaceDN w:val="0"/>
        <w:adjustRightInd w:val="0"/>
        <w:spacing w:after="0" w:line="240" w:lineRule="auto"/>
        <w:rPr>
          <w:rFonts w:ascii="Arial" w:hAnsi="Arial" w:cs="Arial"/>
        </w:rPr>
      </w:pPr>
    </w:p>
    <w:p w14:paraId="46654BEF" w14:textId="32C9B58C" w:rsidR="00874C6B" w:rsidRPr="00B47E7F" w:rsidRDefault="00874C6B" w:rsidP="00874C6B">
      <w:pPr>
        <w:rPr>
          <w:rFonts w:ascii="Arial" w:hAnsi="Arial" w:cs="Arial"/>
        </w:rPr>
      </w:pPr>
      <w:r w:rsidRPr="00B47E7F">
        <w:rPr>
          <w:rFonts w:ascii="Arial" w:hAnsi="Arial" w:cs="Arial"/>
        </w:rPr>
        <w:t>The parks and leisure service have examples of sites</w:t>
      </w:r>
      <w:r w:rsidR="00B47E7F" w:rsidRPr="00B47E7F">
        <w:rPr>
          <w:rFonts w:ascii="Arial" w:hAnsi="Arial" w:cs="Arial"/>
        </w:rPr>
        <w:t xml:space="preserve"> elsewhere in the borough</w:t>
      </w:r>
      <w:r w:rsidRPr="00B47E7F">
        <w:rPr>
          <w:rFonts w:ascii="Arial" w:hAnsi="Arial" w:cs="Arial"/>
        </w:rPr>
        <w:t xml:space="preserve"> where MUGAs have been included as part of </w:t>
      </w:r>
      <w:r w:rsidRPr="00B47E7F">
        <w:rPr>
          <w:rFonts w:ascii="Arial" w:hAnsi="Arial" w:cs="Arial"/>
        </w:rPr>
        <w:t xml:space="preserve">a </w:t>
      </w:r>
      <w:r w:rsidRPr="00B47E7F">
        <w:rPr>
          <w:rFonts w:ascii="Arial" w:hAnsi="Arial" w:cs="Arial"/>
        </w:rPr>
        <w:t>wider development</w:t>
      </w:r>
      <w:r w:rsidRPr="00B47E7F">
        <w:rPr>
          <w:rFonts w:ascii="Arial" w:hAnsi="Arial" w:cs="Arial"/>
        </w:rPr>
        <w:t>,</w:t>
      </w:r>
      <w:r w:rsidRPr="00B47E7F">
        <w:rPr>
          <w:rFonts w:ascii="Arial" w:hAnsi="Arial" w:cs="Arial"/>
        </w:rPr>
        <w:t xml:space="preserve"> as the case with Wood Green common</w:t>
      </w:r>
      <w:r w:rsidR="00B47E7F" w:rsidRPr="00B47E7F">
        <w:rPr>
          <w:rFonts w:ascii="Arial" w:hAnsi="Arial" w:cs="Arial"/>
        </w:rPr>
        <w:t>, and the multi-use of the space has improved safety and reduced anti-social behaviour</w:t>
      </w:r>
      <w:r w:rsidRPr="00B47E7F">
        <w:rPr>
          <w:rFonts w:ascii="Arial" w:hAnsi="Arial" w:cs="Arial"/>
        </w:rPr>
        <w:t xml:space="preserve">. </w:t>
      </w:r>
      <w:r w:rsidRPr="00B47E7F">
        <w:rPr>
          <w:rFonts w:ascii="Arial" w:hAnsi="Arial" w:cs="Arial"/>
        </w:rPr>
        <w:t xml:space="preserve"> </w:t>
      </w:r>
      <w:r w:rsidRPr="00B47E7F">
        <w:rPr>
          <w:rFonts w:ascii="Arial" w:hAnsi="Arial" w:cs="Arial"/>
        </w:rPr>
        <w:t>The MUGA</w:t>
      </w:r>
      <w:r w:rsidRPr="00B47E7F">
        <w:rPr>
          <w:rFonts w:ascii="Arial" w:hAnsi="Arial" w:cs="Arial"/>
        </w:rPr>
        <w:t xml:space="preserve"> </w:t>
      </w:r>
      <w:r w:rsidR="00B47E7F" w:rsidRPr="00B47E7F">
        <w:rPr>
          <w:rFonts w:ascii="Arial" w:hAnsi="Arial" w:cs="Arial"/>
        </w:rPr>
        <w:t xml:space="preserve">on Wood Green Common </w:t>
      </w:r>
      <w:r w:rsidRPr="00B47E7F">
        <w:rPr>
          <w:rFonts w:ascii="Arial" w:hAnsi="Arial" w:cs="Arial"/>
        </w:rPr>
        <w:t>has been sensitively designed with feedback from a range of users and experienced park developers.</w:t>
      </w:r>
      <w:r w:rsidRPr="00B47E7F">
        <w:rPr>
          <w:rFonts w:ascii="Arial" w:hAnsi="Arial" w:cs="Arial"/>
        </w:rPr>
        <w:t xml:space="preserve"> </w:t>
      </w:r>
      <w:r w:rsidRPr="00B47E7F">
        <w:rPr>
          <w:rFonts w:ascii="Arial" w:hAnsi="Arial" w:cs="Arial"/>
        </w:rPr>
        <w:t xml:space="preserve"> The placement of the MUGA is opposite </w:t>
      </w:r>
      <w:r w:rsidRPr="00B47E7F">
        <w:rPr>
          <w:rFonts w:ascii="Arial" w:hAnsi="Arial" w:cs="Arial"/>
        </w:rPr>
        <w:t xml:space="preserve">a </w:t>
      </w:r>
      <w:r w:rsidRPr="00B47E7F">
        <w:rPr>
          <w:rFonts w:ascii="Arial" w:hAnsi="Arial" w:cs="Arial"/>
        </w:rPr>
        <w:t xml:space="preserve">wider </w:t>
      </w:r>
      <w:r w:rsidRPr="00B47E7F">
        <w:rPr>
          <w:rFonts w:ascii="Arial" w:hAnsi="Arial" w:cs="Arial"/>
        </w:rPr>
        <w:t>exercise area</w:t>
      </w:r>
      <w:r w:rsidRPr="00B47E7F">
        <w:rPr>
          <w:rFonts w:ascii="Arial" w:hAnsi="Arial" w:cs="Arial"/>
        </w:rPr>
        <w:t xml:space="preserve"> which data suggests is used by a wide demographic, the ambition with this design is </w:t>
      </w:r>
      <w:r w:rsidRPr="00B47E7F">
        <w:rPr>
          <w:rFonts w:ascii="Arial" w:hAnsi="Arial" w:cs="Arial"/>
        </w:rPr>
        <w:t xml:space="preserve">to </w:t>
      </w:r>
      <w:r w:rsidRPr="00B47E7F">
        <w:rPr>
          <w:rFonts w:ascii="Arial" w:hAnsi="Arial" w:cs="Arial"/>
        </w:rPr>
        <w:t xml:space="preserve">create eyes on the MUGA and the wider area. In addition the MUGA is adjacent to the planned path through the common to the play area, which will encourage more families through and to use </w:t>
      </w:r>
      <w:r w:rsidRPr="00B47E7F">
        <w:rPr>
          <w:rFonts w:ascii="Arial" w:hAnsi="Arial" w:cs="Arial"/>
        </w:rPr>
        <w:t xml:space="preserve">of </w:t>
      </w:r>
      <w:r w:rsidRPr="00B47E7F">
        <w:rPr>
          <w:rFonts w:ascii="Arial" w:hAnsi="Arial" w:cs="Arial"/>
        </w:rPr>
        <w:t xml:space="preserve">the variety of new facilities. </w:t>
      </w:r>
      <w:r w:rsidRPr="00B47E7F">
        <w:rPr>
          <w:rFonts w:ascii="Arial" w:hAnsi="Arial" w:cs="Arial"/>
        </w:rPr>
        <w:t xml:space="preserve"> </w:t>
      </w:r>
      <w:r w:rsidRPr="00B47E7F">
        <w:rPr>
          <w:rFonts w:ascii="Arial" w:hAnsi="Arial" w:cs="Arial"/>
        </w:rPr>
        <w:t xml:space="preserve">The MUGA is sited just off the New River path which is a lit area.  </w:t>
      </w:r>
    </w:p>
    <w:p w14:paraId="35FFE710" w14:textId="46A069DD" w:rsidR="00874C6B" w:rsidRPr="00B47E7F" w:rsidRDefault="00874C6B" w:rsidP="00874C6B">
      <w:pPr>
        <w:rPr>
          <w:rFonts w:ascii="Arial" w:hAnsi="Arial" w:cs="Arial"/>
        </w:rPr>
      </w:pPr>
      <w:r w:rsidRPr="00B47E7F">
        <w:rPr>
          <w:rFonts w:ascii="Arial" w:hAnsi="Arial" w:cs="Arial"/>
        </w:rPr>
        <w:t>Once built LB</w:t>
      </w:r>
      <w:r w:rsidRPr="00B47E7F">
        <w:rPr>
          <w:rFonts w:ascii="Arial" w:hAnsi="Arial" w:cs="Arial"/>
        </w:rPr>
        <w:t xml:space="preserve"> </w:t>
      </w:r>
      <w:r w:rsidRPr="00B47E7F">
        <w:rPr>
          <w:rFonts w:ascii="Arial" w:hAnsi="Arial" w:cs="Arial"/>
        </w:rPr>
        <w:t>H</w:t>
      </w:r>
      <w:r w:rsidRPr="00B47E7F">
        <w:rPr>
          <w:rFonts w:ascii="Arial" w:hAnsi="Arial" w:cs="Arial"/>
        </w:rPr>
        <w:t xml:space="preserve">aringey </w:t>
      </w:r>
      <w:r w:rsidRPr="00B47E7F">
        <w:rPr>
          <w:rFonts w:ascii="Arial" w:hAnsi="Arial" w:cs="Arial"/>
        </w:rPr>
        <w:t xml:space="preserve">Active Communities will deliver the activation plan, working with the key stakeholders - 3 schools and local sports delivery partners to ensure a </w:t>
      </w:r>
      <w:r w:rsidRPr="00B47E7F">
        <w:rPr>
          <w:rFonts w:ascii="Arial" w:hAnsi="Arial" w:cs="Arial"/>
        </w:rPr>
        <w:t>t</w:t>
      </w:r>
      <w:r w:rsidRPr="00B47E7F">
        <w:rPr>
          <w:rFonts w:ascii="Arial" w:hAnsi="Arial" w:cs="Arial"/>
        </w:rPr>
        <w:t xml:space="preserve">erm and holiday timetable of activation which brings the right mix of casual use, delivered sessions and hire when available. </w:t>
      </w:r>
    </w:p>
    <w:p w14:paraId="06B89E8B" w14:textId="77777777" w:rsidR="00874C6B" w:rsidRPr="00B47E7F" w:rsidRDefault="00874C6B" w:rsidP="00874C6B">
      <w:pPr>
        <w:autoSpaceDE w:val="0"/>
        <w:autoSpaceDN w:val="0"/>
        <w:adjustRightInd w:val="0"/>
        <w:spacing w:after="0" w:line="240" w:lineRule="auto"/>
        <w:rPr>
          <w:rFonts w:ascii="Arial" w:hAnsi="Arial" w:cs="Arial"/>
        </w:rPr>
      </w:pPr>
      <w:r w:rsidRPr="00B47E7F">
        <w:rPr>
          <w:rFonts w:ascii="Arial" w:hAnsi="Arial" w:cs="Arial"/>
        </w:rPr>
        <w:t xml:space="preserve">The design of the MUGA was progressed with the local police and BID rangers and follows safer by design recommendations.  The MUGA is accessed by a booking system to encourage accountability and to ensure a record of users.  Both the police and BID rangers will monitor the situation once the MUGA is operational with a view to extending their ‘beat’ if deemed necessary.   </w:t>
      </w:r>
    </w:p>
    <w:p w14:paraId="3550227C" w14:textId="77777777" w:rsidR="00874C6B" w:rsidRPr="00B47E7F" w:rsidRDefault="00874C6B" w:rsidP="00874C6B">
      <w:pPr>
        <w:rPr>
          <w:rFonts w:ascii="Arial" w:hAnsi="Arial" w:cs="Arial"/>
        </w:rPr>
      </w:pPr>
    </w:p>
    <w:p w14:paraId="5E47C86F" w14:textId="67F2BD2B" w:rsidR="00874C6B" w:rsidRPr="00B47E7F" w:rsidRDefault="00874C6B" w:rsidP="00874C6B">
      <w:pPr>
        <w:rPr>
          <w:rFonts w:ascii="Arial" w:hAnsi="Arial" w:cs="Arial"/>
        </w:rPr>
      </w:pPr>
      <w:r w:rsidRPr="00B47E7F">
        <w:rPr>
          <w:rFonts w:ascii="Arial" w:hAnsi="Arial" w:cs="Arial"/>
        </w:rPr>
        <w:t>LB</w:t>
      </w:r>
      <w:r w:rsidRPr="00B47E7F">
        <w:rPr>
          <w:rFonts w:ascii="Arial" w:hAnsi="Arial" w:cs="Arial"/>
        </w:rPr>
        <w:t xml:space="preserve"> </w:t>
      </w:r>
      <w:r w:rsidRPr="00B47E7F">
        <w:rPr>
          <w:rFonts w:ascii="Arial" w:hAnsi="Arial" w:cs="Arial"/>
        </w:rPr>
        <w:t>H</w:t>
      </w:r>
      <w:r w:rsidRPr="00B47E7F">
        <w:rPr>
          <w:rFonts w:ascii="Arial" w:hAnsi="Arial" w:cs="Arial"/>
        </w:rPr>
        <w:t>aringey</w:t>
      </w:r>
      <w:r w:rsidRPr="00B47E7F">
        <w:rPr>
          <w:rFonts w:ascii="Arial" w:hAnsi="Arial" w:cs="Arial"/>
        </w:rPr>
        <w:t xml:space="preserve"> Parks Development and Regeneration team visited Heartlands </w:t>
      </w:r>
      <w:r w:rsidRPr="00B47E7F">
        <w:rPr>
          <w:rFonts w:ascii="Arial" w:hAnsi="Arial" w:cs="Arial"/>
        </w:rPr>
        <w:t xml:space="preserve">School in </w:t>
      </w:r>
      <w:r w:rsidRPr="00B47E7F">
        <w:rPr>
          <w:rFonts w:ascii="Arial" w:hAnsi="Arial" w:cs="Arial"/>
        </w:rPr>
        <w:t xml:space="preserve">Oct 2023 </w:t>
      </w:r>
      <w:r w:rsidRPr="00B47E7F">
        <w:rPr>
          <w:rFonts w:ascii="Arial" w:hAnsi="Arial" w:cs="Arial"/>
        </w:rPr>
        <w:t xml:space="preserve">to </w:t>
      </w:r>
      <w:r w:rsidRPr="00B47E7F">
        <w:rPr>
          <w:rFonts w:ascii="Arial" w:hAnsi="Arial" w:cs="Arial"/>
        </w:rPr>
        <w:t xml:space="preserve">review the scheme with their senior management. </w:t>
      </w:r>
      <w:r w:rsidRPr="00B47E7F">
        <w:rPr>
          <w:rFonts w:ascii="Arial" w:hAnsi="Arial" w:cs="Arial"/>
        </w:rPr>
        <w:t>The p</w:t>
      </w:r>
      <w:r w:rsidRPr="00B47E7F">
        <w:rPr>
          <w:rFonts w:ascii="Arial" w:hAnsi="Arial" w:cs="Arial"/>
        </w:rPr>
        <w:t>roject team took on</w:t>
      </w:r>
      <w:r w:rsidRPr="00B47E7F">
        <w:rPr>
          <w:rFonts w:ascii="Arial" w:hAnsi="Arial" w:cs="Arial"/>
        </w:rPr>
        <w:t xml:space="preserve"> board</w:t>
      </w:r>
      <w:r w:rsidRPr="00B47E7F">
        <w:rPr>
          <w:rFonts w:ascii="Arial" w:hAnsi="Arial" w:cs="Arial"/>
        </w:rPr>
        <w:t xml:space="preserve"> the feedback and concerns of the academy especially around </w:t>
      </w:r>
      <w:r w:rsidRPr="00B47E7F">
        <w:rPr>
          <w:rFonts w:ascii="Arial" w:hAnsi="Arial" w:cs="Arial"/>
        </w:rPr>
        <w:t xml:space="preserve">their </w:t>
      </w:r>
      <w:r w:rsidRPr="00B47E7F">
        <w:rPr>
          <w:rFonts w:ascii="Arial" w:hAnsi="Arial" w:cs="Arial"/>
        </w:rPr>
        <w:t xml:space="preserve">duty of care </w:t>
      </w:r>
      <w:r w:rsidRPr="00B47E7F">
        <w:rPr>
          <w:rFonts w:ascii="Arial" w:hAnsi="Arial" w:cs="Arial"/>
        </w:rPr>
        <w:t xml:space="preserve">to </w:t>
      </w:r>
      <w:r w:rsidRPr="00B47E7F">
        <w:rPr>
          <w:rFonts w:ascii="Arial" w:hAnsi="Arial" w:cs="Arial"/>
        </w:rPr>
        <w:t xml:space="preserve">students during </w:t>
      </w:r>
      <w:r w:rsidRPr="00B47E7F">
        <w:rPr>
          <w:rFonts w:ascii="Arial" w:hAnsi="Arial" w:cs="Arial"/>
        </w:rPr>
        <w:t>the end of the school day</w:t>
      </w:r>
      <w:r w:rsidRPr="00B47E7F">
        <w:rPr>
          <w:rFonts w:ascii="Arial" w:hAnsi="Arial" w:cs="Arial"/>
        </w:rPr>
        <w:t>.</w:t>
      </w:r>
      <w:r w:rsidRPr="00B47E7F">
        <w:rPr>
          <w:rFonts w:ascii="Arial" w:hAnsi="Arial" w:cs="Arial"/>
        </w:rPr>
        <w:t xml:space="preserve">  The design was subsequently design was amended to enable the school to </w:t>
      </w:r>
      <w:r w:rsidRPr="00B47E7F">
        <w:rPr>
          <w:rFonts w:ascii="Arial" w:hAnsi="Arial" w:cs="Arial"/>
        </w:rPr>
        <w:t xml:space="preserve">continue current operation policy. </w:t>
      </w:r>
    </w:p>
    <w:p w14:paraId="0C262015" w14:textId="77777777" w:rsidR="00BB6BF8" w:rsidRPr="00B47E7F" w:rsidRDefault="00BB6BF8" w:rsidP="005024A7">
      <w:pPr>
        <w:autoSpaceDE w:val="0"/>
        <w:autoSpaceDN w:val="0"/>
        <w:adjustRightInd w:val="0"/>
        <w:spacing w:after="0" w:line="240" w:lineRule="auto"/>
        <w:rPr>
          <w:rFonts w:ascii="Arial" w:hAnsi="Arial" w:cs="Arial"/>
        </w:rPr>
      </w:pPr>
    </w:p>
    <w:p w14:paraId="26F8ACAE" w14:textId="77777777" w:rsidR="00BB6BF8" w:rsidRPr="00B47E7F" w:rsidRDefault="00BB6BF8" w:rsidP="005024A7">
      <w:pPr>
        <w:autoSpaceDE w:val="0"/>
        <w:autoSpaceDN w:val="0"/>
        <w:adjustRightInd w:val="0"/>
        <w:spacing w:after="0" w:line="240" w:lineRule="auto"/>
        <w:rPr>
          <w:rFonts w:ascii="Arial" w:hAnsi="Arial" w:cs="Arial"/>
          <w:b/>
          <w:bCs/>
        </w:rPr>
      </w:pPr>
    </w:p>
    <w:p w14:paraId="40D58F38" w14:textId="271F70DA" w:rsidR="005024A7" w:rsidRPr="00B47E7F" w:rsidRDefault="005024A7" w:rsidP="005024A7">
      <w:pPr>
        <w:autoSpaceDE w:val="0"/>
        <w:autoSpaceDN w:val="0"/>
        <w:adjustRightInd w:val="0"/>
        <w:spacing w:after="0" w:line="240" w:lineRule="auto"/>
        <w:rPr>
          <w:rFonts w:ascii="Arial" w:hAnsi="Arial" w:cs="Arial"/>
          <w:b/>
          <w:bCs/>
        </w:rPr>
      </w:pPr>
      <w:r w:rsidRPr="00B47E7F">
        <w:rPr>
          <w:rFonts w:ascii="Arial" w:hAnsi="Arial" w:cs="Arial"/>
          <w:b/>
          <w:bCs/>
        </w:rPr>
        <w:t>Alternative Sites</w:t>
      </w:r>
    </w:p>
    <w:p w14:paraId="5ABB9B34" w14:textId="19531B04" w:rsidR="005024A7" w:rsidRPr="00B47E7F" w:rsidRDefault="009F60AD" w:rsidP="005024A7">
      <w:pPr>
        <w:autoSpaceDE w:val="0"/>
        <w:autoSpaceDN w:val="0"/>
        <w:adjustRightInd w:val="0"/>
        <w:spacing w:after="0" w:line="240" w:lineRule="auto"/>
        <w:rPr>
          <w:rFonts w:ascii="Arial" w:hAnsi="Arial" w:cs="Arial"/>
        </w:rPr>
      </w:pPr>
      <w:r w:rsidRPr="00B47E7F">
        <w:rPr>
          <w:rFonts w:ascii="Arial" w:hAnsi="Arial" w:cs="Arial"/>
        </w:rPr>
        <w:t xml:space="preserve">Objection: </w:t>
      </w:r>
      <w:r w:rsidR="005024A7" w:rsidRPr="00B47E7F">
        <w:rPr>
          <w:rFonts w:ascii="Arial" w:hAnsi="Arial" w:cs="Arial"/>
        </w:rPr>
        <w:t>There is no mention in the DAS of any consideration of alternative sites. This is important given the</w:t>
      </w:r>
      <w:r w:rsidRPr="00B47E7F">
        <w:rPr>
          <w:rFonts w:ascii="Arial" w:hAnsi="Arial" w:cs="Arial"/>
        </w:rPr>
        <w:t xml:space="preserve"> </w:t>
      </w:r>
      <w:r w:rsidR="005024A7" w:rsidRPr="00B47E7F">
        <w:rPr>
          <w:rFonts w:ascii="Arial" w:hAnsi="Arial" w:cs="Arial"/>
        </w:rPr>
        <w:t>likely harms to the heritage of the locally listed park and the statutory listed wall.</w:t>
      </w:r>
    </w:p>
    <w:p w14:paraId="15A50C65" w14:textId="77777777" w:rsidR="009F60AD" w:rsidRPr="00B47E7F" w:rsidRDefault="009F60AD" w:rsidP="005024A7">
      <w:pPr>
        <w:autoSpaceDE w:val="0"/>
        <w:autoSpaceDN w:val="0"/>
        <w:adjustRightInd w:val="0"/>
        <w:spacing w:after="0" w:line="240" w:lineRule="auto"/>
        <w:rPr>
          <w:rFonts w:ascii="Arial" w:hAnsi="Arial" w:cs="Arial"/>
        </w:rPr>
      </w:pPr>
    </w:p>
    <w:p w14:paraId="4D3C8B73" w14:textId="2A04BA39" w:rsidR="009F60AD" w:rsidRPr="00B47E7F" w:rsidRDefault="009F60AD" w:rsidP="005024A7">
      <w:pPr>
        <w:autoSpaceDE w:val="0"/>
        <w:autoSpaceDN w:val="0"/>
        <w:adjustRightInd w:val="0"/>
        <w:spacing w:after="0" w:line="240" w:lineRule="auto"/>
        <w:rPr>
          <w:rFonts w:ascii="Arial" w:hAnsi="Arial" w:cs="Arial"/>
        </w:rPr>
      </w:pPr>
      <w:r w:rsidRPr="00B47E7F">
        <w:rPr>
          <w:rFonts w:ascii="Arial" w:hAnsi="Arial" w:cs="Arial"/>
        </w:rPr>
        <w:t>Response: The installation of a MUGA came out of significant public consultation throughout the duration of the project design development.  The MUGA is part of a wider design and it was a key community requirement.  The location within the common has been determined (as noted above) to have the least impact on the wider common, in terms of both space and visual amenity.</w:t>
      </w:r>
    </w:p>
    <w:p w14:paraId="5C0155FC" w14:textId="77777777" w:rsidR="009F60AD" w:rsidRPr="00B47E7F" w:rsidRDefault="009F60AD" w:rsidP="005024A7">
      <w:pPr>
        <w:autoSpaceDE w:val="0"/>
        <w:autoSpaceDN w:val="0"/>
        <w:adjustRightInd w:val="0"/>
        <w:spacing w:after="0" w:line="240" w:lineRule="auto"/>
        <w:rPr>
          <w:rFonts w:ascii="Arial" w:hAnsi="Arial" w:cs="Arial"/>
        </w:rPr>
      </w:pPr>
    </w:p>
    <w:p w14:paraId="6A3E0689" w14:textId="77777777" w:rsidR="005024A7" w:rsidRPr="00B47E7F" w:rsidRDefault="005024A7" w:rsidP="005024A7">
      <w:pPr>
        <w:autoSpaceDE w:val="0"/>
        <w:autoSpaceDN w:val="0"/>
        <w:adjustRightInd w:val="0"/>
        <w:spacing w:after="0" w:line="240" w:lineRule="auto"/>
        <w:rPr>
          <w:rFonts w:ascii="Arial" w:hAnsi="Arial" w:cs="Arial"/>
          <w:b/>
          <w:bCs/>
        </w:rPr>
      </w:pPr>
      <w:r w:rsidRPr="00B47E7F">
        <w:rPr>
          <w:rFonts w:ascii="Arial" w:hAnsi="Arial" w:cs="Arial"/>
          <w:b/>
          <w:bCs/>
        </w:rPr>
        <w:lastRenderedPageBreak/>
        <w:t>Environment</w:t>
      </w:r>
    </w:p>
    <w:p w14:paraId="5348A8B1" w14:textId="18224A79" w:rsidR="009F60AD" w:rsidRPr="00B47E7F" w:rsidRDefault="009F60AD" w:rsidP="009F60AD">
      <w:pPr>
        <w:autoSpaceDE w:val="0"/>
        <w:autoSpaceDN w:val="0"/>
        <w:adjustRightInd w:val="0"/>
        <w:spacing w:after="0" w:line="240" w:lineRule="auto"/>
        <w:rPr>
          <w:rFonts w:ascii="Arial" w:hAnsi="Arial" w:cs="Arial"/>
        </w:rPr>
      </w:pPr>
      <w:r w:rsidRPr="00B47E7F">
        <w:rPr>
          <w:rFonts w:ascii="Arial" w:hAnsi="Arial" w:cs="Arial"/>
        </w:rPr>
        <w:t xml:space="preserve">Objection: </w:t>
      </w:r>
      <w:r w:rsidR="005024A7" w:rsidRPr="00B47E7F">
        <w:rPr>
          <w:rFonts w:ascii="Arial" w:hAnsi="Arial" w:cs="Arial"/>
        </w:rPr>
        <w:t>Policy DM23 requires "Development proposals that include external lighting must mitigate potential</w:t>
      </w:r>
      <w:r w:rsidRPr="00B47E7F">
        <w:rPr>
          <w:rFonts w:ascii="Arial" w:hAnsi="Arial" w:cs="Arial"/>
        </w:rPr>
        <w:t xml:space="preserve"> </w:t>
      </w:r>
      <w:r w:rsidR="005024A7" w:rsidRPr="00B47E7F">
        <w:rPr>
          <w:rFonts w:ascii="Arial" w:hAnsi="Arial" w:cs="Arial"/>
        </w:rPr>
        <w:t xml:space="preserve">adverse impacts from such lighting". </w:t>
      </w:r>
      <w:r w:rsidRPr="00B47E7F">
        <w:rPr>
          <w:rFonts w:ascii="Arial" w:hAnsi="Arial" w:cs="Arial"/>
        </w:rPr>
        <w:t xml:space="preserve"> </w:t>
      </w:r>
      <w:r w:rsidR="005024A7" w:rsidRPr="00B47E7F">
        <w:rPr>
          <w:rFonts w:ascii="Arial" w:hAnsi="Arial" w:cs="Arial"/>
        </w:rPr>
        <w:t xml:space="preserve">There is no demonstration in the </w:t>
      </w:r>
      <w:r w:rsidR="00881759" w:rsidRPr="00B47E7F">
        <w:rPr>
          <w:rFonts w:ascii="Arial" w:hAnsi="Arial" w:cs="Arial"/>
        </w:rPr>
        <w:t>a</w:t>
      </w:r>
      <w:r w:rsidR="005024A7" w:rsidRPr="00B47E7F">
        <w:rPr>
          <w:rFonts w:ascii="Arial" w:hAnsi="Arial" w:cs="Arial"/>
        </w:rPr>
        <w:t>pplication that there may be</w:t>
      </w:r>
      <w:r w:rsidRPr="00B47E7F">
        <w:rPr>
          <w:rFonts w:ascii="Arial" w:hAnsi="Arial" w:cs="Arial"/>
        </w:rPr>
        <w:t xml:space="preserve"> </w:t>
      </w:r>
      <w:r w:rsidR="005024A7" w:rsidRPr="00B47E7F">
        <w:rPr>
          <w:rFonts w:ascii="Arial" w:hAnsi="Arial" w:cs="Arial"/>
        </w:rPr>
        <w:t>harms from lighting (which is acknowledged by the Local Plan) and no mitigation therefore is even</w:t>
      </w:r>
      <w:r w:rsidRPr="00B47E7F">
        <w:rPr>
          <w:rFonts w:ascii="Arial" w:hAnsi="Arial" w:cs="Arial"/>
        </w:rPr>
        <w:t xml:space="preserve"> </w:t>
      </w:r>
      <w:r w:rsidR="005024A7" w:rsidRPr="00B47E7F">
        <w:rPr>
          <w:rFonts w:ascii="Arial" w:hAnsi="Arial" w:cs="Arial"/>
        </w:rPr>
        <w:t>considered.</w:t>
      </w:r>
      <w:r w:rsidRPr="00B47E7F">
        <w:rPr>
          <w:rFonts w:ascii="Arial" w:hAnsi="Arial" w:cs="Arial"/>
        </w:rPr>
        <w:t xml:space="preserve">  Furthermore there is no indication that there has been any consideration of the wildlife on the common and the effect that the lighting may have.</w:t>
      </w:r>
    </w:p>
    <w:p w14:paraId="11C70815" w14:textId="257C75B4" w:rsidR="005024A7" w:rsidRPr="00B47E7F" w:rsidRDefault="005024A7" w:rsidP="005024A7">
      <w:pPr>
        <w:autoSpaceDE w:val="0"/>
        <w:autoSpaceDN w:val="0"/>
        <w:adjustRightInd w:val="0"/>
        <w:spacing w:after="0" w:line="240" w:lineRule="auto"/>
        <w:rPr>
          <w:rFonts w:ascii="Arial" w:hAnsi="Arial" w:cs="Arial"/>
        </w:rPr>
      </w:pPr>
    </w:p>
    <w:p w14:paraId="0560F338" w14:textId="02B8A0B7" w:rsidR="009F60AD" w:rsidRPr="00B47E7F" w:rsidRDefault="009F60AD" w:rsidP="009F60AD">
      <w:pPr>
        <w:autoSpaceDE w:val="0"/>
        <w:autoSpaceDN w:val="0"/>
        <w:adjustRightInd w:val="0"/>
        <w:spacing w:after="0" w:line="240" w:lineRule="auto"/>
        <w:rPr>
          <w:rFonts w:ascii="Arial" w:hAnsi="Arial" w:cs="Arial"/>
        </w:rPr>
      </w:pPr>
      <w:r w:rsidRPr="00B47E7F">
        <w:rPr>
          <w:rFonts w:ascii="Arial" w:hAnsi="Arial" w:cs="Arial"/>
        </w:rPr>
        <w:t>Response: the revised Heritage Statement includes further information on the lighting design stating “The lux levels and lighting hardware are designed for use on games pitches and project the light exclusively on the pitch surface.  The lighting heads are mounted on 8m high columns, with a bracket that allows precise angling to ensure light is projected down with minimal lateral spill.  The modules are further equipped with a Backlight control system to prevent light spill from the back of the luminaire and glare control to prevent lateral spill.</w:t>
      </w:r>
    </w:p>
    <w:p w14:paraId="3EFB859A" w14:textId="77777777" w:rsidR="009F60AD" w:rsidRPr="00B47E7F" w:rsidRDefault="009F60AD" w:rsidP="009F60AD">
      <w:pPr>
        <w:autoSpaceDE w:val="0"/>
        <w:autoSpaceDN w:val="0"/>
        <w:adjustRightInd w:val="0"/>
        <w:spacing w:after="0" w:line="240" w:lineRule="auto"/>
        <w:rPr>
          <w:rFonts w:ascii="Arial" w:hAnsi="Arial" w:cs="Arial"/>
        </w:rPr>
      </w:pPr>
    </w:p>
    <w:p w14:paraId="7C09C359" w14:textId="546E3EE2" w:rsidR="009F60AD" w:rsidRPr="00B47E7F" w:rsidRDefault="009F60AD" w:rsidP="009F60AD">
      <w:pPr>
        <w:autoSpaceDE w:val="0"/>
        <w:autoSpaceDN w:val="0"/>
        <w:adjustRightInd w:val="0"/>
        <w:spacing w:after="0" w:line="240" w:lineRule="auto"/>
        <w:rPr>
          <w:rFonts w:ascii="Arial" w:hAnsi="Arial" w:cs="Arial"/>
        </w:rPr>
      </w:pPr>
      <w:r w:rsidRPr="00B47E7F">
        <w:rPr>
          <w:rFonts w:ascii="Arial" w:hAnsi="Arial" w:cs="Arial"/>
        </w:rPr>
        <w:t>The light source is LED which are designed to allow precise angling of the light beam through the mounting bracket and prevent light spill and glare and are the most energy efficient light source.  Although the lit area will be visible, the light will not spill or cause glare on the surrounding area, including the houses along Station Road. The pitch has been located as far from residential areas as possible.  Trees are planted along the north boundary of the MUGA to mask both the fence and the lit pitch surface.</w:t>
      </w:r>
    </w:p>
    <w:p w14:paraId="5A437CBF" w14:textId="77777777" w:rsidR="009F60AD" w:rsidRPr="00B47E7F" w:rsidRDefault="009F60AD" w:rsidP="009F60AD">
      <w:pPr>
        <w:autoSpaceDE w:val="0"/>
        <w:autoSpaceDN w:val="0"/>
        <w:adjustRightInd w:val="0"/>
        <w:spacing w:after="0" w:line="240" w:lineRule="auto"/>
        <w:rPr>
          <w:rFonts w:ascii="Arial" w:hAnsi="Arial" w:cs="Arial"/>
        </w:rPr>
      </w:pPr>
    </w:p>
    <w:sectPr w:rsidR="009F60AD" w:rsidRPr="00B47E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4A7"/>
    <w:rsid w:val="00070EBB"/>
    <w:rsid w:val="001179C0"/>
    <w:rsid w:val="004266CA"/>
    <w:rsid w:val="004645CF"/>
    <w:rsid w:val="00470363"/>
    <w:rsid w:val="005024A7"/>
    <w:rsid w:val="006E7A1F"/>
    <w:rsid w:val="00756819"/>
    <w:rsid w:val="00874C6B"/>
    <w:rsid w:val="00881759"/>
    <w:rsid w:val="009F356C"/>
    <w:rsid w:val="009F60AD"/>
    <w:rsid w:val="00B47E7F"/>
    <w:rsid w:val="00BB6BF8"/>
    <w:rsid w:val="00C61F1D"/>
    <w:rsid w:val="00E10160"/>
    <w:rsid w:val="00E66742"/>
    <w:rsid w:val="00F05BB0"/>
    <w:rsid w:val="00FB6025"/>
    <w:rsid w:val="00FC4F1A"/>
    <w:rsid w:val="00FC7F74"/>
    <w:rsid w:val="00FF30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6131B"/>
  <w15:chartTrackingRefBased/>
  <w15:docId w15:val="{341A6718-5D8F-473E-97E1-7077142A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24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24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24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24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24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24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24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24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24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24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24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24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24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24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24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24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24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24A7"/>
    <w:rPr>
      <w:rFonts w:eastAsiaTheme="majorEastAsia" w:cstheme="majorBidi"/>
      <w:color w:val="272727" w:themeColor="text1" w:themeTint="D8"/>
    </w:rPr>
  </w:style>
  <w:style w:type="paragraph" w:styleId="Title">
    <w:name w:val="Title"/>
    <w:basedOn w:val="Normal"/>
    <w:next w:val="Normal"/>
    <w:link w:val="TitleChar"/>
    <w:uiPriority w:val="10"/>
    <w:qFormat/>
    <w:rsid w:val="00502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24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24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24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24A7"/>
    <w:pPr>
      <w:spacing w:before="160"/>
      <w:jc w:val="center"/>
    </w:pPr>
    <w:rPr>
      <w:i/>
      <w:iCs/>
      <w:color w:val="404040" w:themeColor="text1" w:themeTint="BF"/>
    </w:rPr>
  </w:style>
  <w:style w:type="character" w:customStyle="1" w:styleId="QuoteChar">
    <w:name w:val="Quote Char"/>
    <w:basedOn w:val="DefaultParagraphFont"/>
    <w:link w:val="Quote"/>
    <w:uiPriority w:val="29"/>
    <w:rsid w:val="005024A7"/>
    <w:rPr>
      <w:i/>
      <w:iCs/>
      <w:color w:val="404040" w:themeColor="text1" w:themeTint="BF"/>
    </w:rPr>
  </w:style>
  <w:style w:type="paragraph" w:styleId="ListParagraph">
    <w:name w:val="List Paragraph"/>
    <w:basedOn w:val="Normal"/>
    <w:uiPriority w:val="34"/>
    <w:qFormat/>
    <w:rsid w:val="005024A7"/>
    <w:pPr>
      <w:ind w:left="720"/>
      <w:contextualSpacing/>
    </w:pPr>
  </w:style>
  <w:style w:type="character" w:styleId="IntenseEmphasis">
    <w:name w:val="Intense Emphasis"/>
    <w:basedOn w:val="DefaultParagraphFont"/>
    <w:uiPriority w:val="21"/>
    <w:qFormat/>
    <w:rsid w:val="005024A7"/>
    <w:rPr>
      <w:i/>
      <w:iCs/>
      <w:color w:val="0F4761" w:themeColor="accent1" w:themeShade="BF"/>
    </w:rPr>
  </w:style>
  <w:style w:type="paragraph" w:styleId="IntenseQuote">
    <w:name w:val="Intense Quote"/>
    <w:basedOn w:val="Normal"/>
    <w:next w:val="Normal"/>
    <w:link w:val="IntenseQuoteChar"/>
    <w:uiPriority w:val="30"/>
    <w:qFormat/>
    <w:rsid w:val="00502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24A7"/>
    <w:rPr>
      <w:i/>
      <w:iCs/>
      <w:color w:val="0F4761" w:themeColor="accent1" w:themeShade="BF"/>
    </w:rPr>
  </w:style>
  <w:style w:type="character" w:styleId="IntenseReference">
    <w:name w:val="Intense Reference"/>
    <w:basedOn w:val="DefaultParagraphFont"/>
    <w:uiPriority w:val="32"/>
    <w:qFormat/>
    <w:rsid w:val="005024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478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1886</Words>
  <Characters>10756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Neal</dc:creator>
  <cp:keywords/>
  <dc:description/>
  <cp:lastModifiedBy>Sam Neal</cp:lastModifiedBy>
  <cp:revision>3</cp:revision>
  <dcterms:created xsi:type="dcterms:W3CDTF">2024-03-18T16:14:00Z</dcterms:created>
  <dcterms:modified xsi:type="dcterms:W3CDTF">2024-03-18T16:17:00Z</dcterms:modified>
</cp:coreProperties>
</file>