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FBBCF9" w14:textId="4C6586FF" w:rsidR="008A34E3" w:rsidRPr="00002A0E" w:rsidRDefault="00002A0E">
      <w:pPr>
        <w:rPr>
          <w:b/>
          <w:bCs/>
        </w:rPr>
      </w:pPr>
      <w:r w:rsidRPr="00002A0E">
        <w:rPr>
          <w:b/>
          <w:bCs/>
        </w:rPr>
        <w:t>Condition 55 – Landscaping – Responses received 25.09.24</w:t>
      </w:r>
    </w:p>
    <w:p w14:paraId="742EA164" w14:textId="1B91D9EE" w:rsidR="00BE16F8" w:rsidRPr="008D373C" w:rsidRDefault="00BE16F8">
      <w:pPr>
        <w:rPr>
          <w:b/>
          <w:bCs/>
          <w:color w:val="215E99" w:themeColor="text2" w:themeTint="BF"/>
        </w:rPr>
      </w:pPr>
      <w:r w:rsidRPr="00BE16F8">
        <w:rPr>
          <w:b/>
          <w:bCs/>
          <w:color w:val="215E99" w:themeColor="text2" w:themeTint="BF"/>
        </w:rPr>
        <w:t>HPL responses in blue:</w:t>
      </w:r>
    </w:p>
    <w:p w14:paraId="3D6491D4" w14:textId="77777777" w:rsidR="00002A0E" w:rsidRPr="00002A0E" w:rsidRDefault="00002A0E" w:rsidP="00002A0E">
      <w:r w:rsidRPr="00002A0E">
        <w:t xml:space="preserve">On the landscaping a few more queries: </w:t>
      </w:r>
    </w:p>
    <w:p w14:paraId="3872E96B" w14:textId="77777777" w:rsidR="00002A0E" w:rsidRDefault="00002A0E" w:rsidP="00002A0E">
      <w:pPr>
        <w:numPr>
          <w:ilvl w:val="0"/>
          <w:numId w:val="1"/>
        </w:numPr>
      </w:pPr>
      <w:r w:rsidRPr="00002A0E">
        <w:t>Do we have full detailed of the play equipment?</w:t>
      </w:r>
    </w:p>
    <w:p w14:paraId="2D9D2B83" w14:textId="223E8396" w:rsidR="007C212D" w:rsidRPr="00BE16F8" w:rsidRDefault="007C212D" w:rsidP="007C212D">
      <w:pPr>
        <w:ind w:left="720"/>
        <w:rPr>
          <w:color w:val="215E99" w:themeColor="text2" w:themeTint="BF"/>
        </w:rPr>
      </w:pPr>
      <w:r w:rsidRPr="00BE16F8">
        <w:rPr>
          <w:color w:val="215E99" w:themeColor="text2" w:themeTint="BF"/>
        </w:rPr>
        <w:t>Yes, please see attached</w:t>
      </w:r>
      <w:r w:rsidR="00BE16F8" w:rsidRPr="00BE16F8">
        <w:rPr>
          <w:color w:val="215E99" w:themeColor="text2" w:themeTint="BF"/>
        </w:rPr>
        <w:t xml:space="preserve"> and refer to the below:</w:t>
      </w:r>
    </w:p>
    <w:p w14:paraId="3158B8CF" w14:textId="77777777" w:rsidR="00BE16F8" w:rsidRPr="00BE16F8" w:rsidRDefault="00BE16F8" w:rsidP="00BE16F8">
      <w:pPr>
        <w:numPr>
          <w:ilvl w:val="0"/>
          <w:numId w:val="6"/>
        </w:numPr>
        <w:rPr>
          <w:color w:val="215E99" w:themeColor="text2" w:themeTint="BF"/>
        </w:rPr>
      </w:pPr>
      <w:r w:rsidRPr="00BE16F8">
        <w:rPr>
          <w:color w:val="215E99" w:themeColor="text2" w:themeTint="BF"/>
        </w:rPr>
        <w:t>N15301-PLI-XX-ZZ-DR-L-60233 (Boardwalk access – Play Space)</w:t>
      </w:r>
    </w:p>
    <w:p w14:paraId="02BE5623" w14:textId="77777777" w:rsidR="00BE16F8" w:rsidRPr="00BE16F8" w:rsidRDefault="00BE16F8" w:rsidP="00BE16F8">
      <w:pPr>
        <w:numPr>
          <w:ilvl w:val="0"/>
          <w:numId w:val="6"/>
        </w:numPr>
        <w:rPr>
          <w:color w:val="215E99" w:themeColor="text2" w:themeTint="BF"/>
        </w:rPr>
      </w:pPr>
      <w:r w:rsidRPr="00BE16F8">
        <w:rPr>
          <w:color w:val="215E99" w:themeColor="text2" w:themeTint="BF"/>
        </w:rPr>
        <w:t>N15301-PLI-XX-ZZ-DR-L-60236 (Causeway – Play Space)</w:t>
      </w:r>
    </w:p>
    <w:p w14:paraId="5AFB3609" w14:textId="77777777" w:rsidR="00BE16F8" w:rsidRPr="00BE16F8" w:rsidRDefault="00BE16F8" w:rsidP="00BE16F8">
      <w:pPr>
        <w:numPr>
          <w:ilvl w:val="0"/>
          <w:numId w:val="6"/>
        </w:numPr>
        <w:rPr>
          <w:color w:val="215E99" w:themeColor="text2" w:themeTint="BF"/>
        </w:rPr>
      </w:pPr>
      <w:r w:rsidRPr="00BE16F8">
        <w:rPr>
          <w:color w:val="215E99" w:themeColor="text2" w:themeTint="BF"/>
        </w:rPr>
        <w:t>N15301-PLI-XX-ZZ-DR-L-60237 (Climbing wall – Play Space)</w:t>
      </w:r>
    </w:p>
    <w:p w14:paraId="21D2F31A" w14:textId="1C60842C" w:rsidR="00BE16F8" w:rsidRPr="00BE16F8" w:rsidRDefault="00BE16F8" w:rsidP="00BE16F8">
      <w:pPr>
        <w:numPr>
          <w:ilvl w:val="0"/>
          <w:numId w:val="6"/>
        </w:numPr>
        <w:rPr>
          <w:color w:val="215E99" w:themeColor="text2" w:themeTint="BF"/>
        </w:rPr>
      </w:pPr>
      <w:r w:rsidRPr="00BE16F8">
        <w:rPr>
          <w:color w:val="215E99" w:themeColor="text2" w:themeTint="BF"/>
        </w:rPr>
        <w:t>N15301-PLI-XX-ZZ-DR-L-60249 (Play Space - Detailed Plan)</w:t>
      </w:r>
    </w:p>
    <w:p w14:paraId="2B7175F4" w14:textId="40FB91F5" w:rsidR="00002A0E" w:rsidRPr="00002A0E" w:rsidRDefault="00BE16F8" w:rsidP="00BE16F8">
      <w:pPr>
        <w:numPr>
          <w:ilvl w:val="0"/>
          <w:numId w:val="6"/>
        </w:numPr>
        <w:rPr>
          <w:color w:val="215E99" w:themeColor="text2" w:themeTint="BF"/>
        </w:rPr>
      </w:pPr>
      <w:r w:rsidRPr="00BE16F8">
        <w:rPr>
          <w:color w:val="215E99" w:themeColor="text2" w:themeTint="BF"/>
        </w:rPr>
        <w:t>N15301-PLI-XX-ZZ-DR-L-60240 (Play Space – Detailed Sections)</w:t>
      </w:r>
    </w:p>
    <w:p w14:paraId="3AC6E171" w14:textId="77777777" w:rsidR="00002A0E" w:rsidRPr="00002A0E" w:rsidRDefault="00002A0E" w:rsidP="00002A0E">
      <w:pPr>
        <w:numPr>
          <w:ilvl w:val="0"/>
          <w:numId w:val="1"/>
        </w:numPr>
      </w:pPr>
      <w:r w:rsidRPr="00002A0E">
        <w:t>Could the cycle route to the SW link be denoted by lines on the roadway instead of being segregated?</w:t>
      </w:r>
    </w:p>
    <w:p w14:paraId="7AC370AF" w14:textId="77B1FFD5" w:rsidR="00002A0E" w:rsidRPr="00002A0E" w:rsidRDefault="00BE16F8" w:rsidP="00BE16F8">
      <w:pPr>
        <w:pStyle w:val="ListParagraph"/>
        <w:rPr>
          <w:color w:val="215E99" w:themeColor="text2" w:themeTint="BF"/>
        </w:rPr>
      </w:pPr>
      <w:r w:rsidRPr="00BE16F8">
        <w:rPr>
          <w:color w:val="215E99" w:themeColor="text2" w:themeTint="BF"/>
        </w:rPr>
        <w:t>We recommend to install inground signage and/or post-mounted cycle icons to highlight the through-route for cyclists. Lines would imply a segregated route, for which there is insufficient room, and would create confusion and conflict between cyclists and motorists parking.</w:t>
      </w:r>
    </w:p>
    <w:p w14:paraId="0FB32EDB" w14:textId="42C699DD" w:rsidR="00A22B92" w:rsidRPr="00A22B92" w:rsidRDefault="00002A0E" w:rsidP="00A22B92">
      <w:pPr>
        <w:numPr>
          <w:ilvl w:val="0"/>
          <w:numId w:val="2"/>
        </w:numPr>
        <w:rPr>
          <w:i/>
          <w:iCs/>
          <w:lang w:val="en-US"/>
        </w:rPr>
      </w:pPr>
      <w:r w:rsidRPr="00002A0E">
        <w:rPr>
          <w:lang w:val="en-US"/>
        </w:rPr>
        <w:t xml:space="preserve">CCTV was requested by the SBD Officer in his report dated 01/09/2022 (see extract from his comments below). It has also been discussed with the Project Director David Wakeford at meetings with the Council’s ASB and Community Safety Team, in response to a number of crime/ASB incidents in this location. </w:t>
      </w:r>
    </w:p>
    <w:p w14:paraId="622B2F8A" w14:textId="142CBD3B" w:rsidR="00002A0E" w:rsidRDefault="00002A0E" w:rsidP="00002A0E">
      <w:pPr>
        <w:rPr>
          <w:i/>
          <w:iCs/>
          <w:lang w:val="en-US"/>
        </w:rPr>
      </w:pPr>
      <w:r w:rsidRPr="00002A0E">
        <w:rPr>
          <w:noProof/>
          <w:lang w:val="en-US"/>
        </w:rPr>
        <w:drawing>
          <wp:inline distT="0" distB="0" distL="0" distR="0" wp14:anchorId="4EE835CB" wp14:editId="7A867B15">
            <wp:extent cx="5731510" cy="681355"/>
            <wp:effectExtent l="0" t="0" r="2540" b="4445"/>
            <wp:docPr id="1116045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681355"/>
                    </a:xfrm>
                    <a:prstGeom prst="rect">
                      <a:avLst/>
                    </a:prstGeom>
                    <a:noFill/>
                    <a:ln>
                      <a:noFill/>
                    </a:ln>
                  </pic:spPr>
                </pic:pic>
              </a:graphicData>
            </a:graphic>
          </wp:inline>
        </w:drawing>
      </w:r>
    </w:p>
    <w:p w14:paraId="2DCBAE4E" w14:textId="37161E2A" w:rsidR="00002A0E" w:rsidRDefault="00A22B92" w:rsidP="00A22B92">
      <w:pPr>
        <w:ind w:firstLine="720"/>
        <w:rPr>
          <w:color w:val="215E99" w:themeColor="text2" w:themeTint="BF"/>
        </w:rPr>
      </w:pPr>
      <w:r w:rsidRPr="00A22B92">
        <w:rPr>
          <w:color w:val="215E99" w:themeColor="text2" w:themeTint="BF"/>
        </w:rPr>
        <w:t>See attached updated CCTV layout, CCTV camera mounted on the lighting column.</w:t>
      </w:r>
    </w:p>
    <w:p w14:paraId="0D1C11DE" w14:textId="77777777" w:rsidR="00B9365F" w:rsidRPr="00A22B92" w:rsidRDefault="00B9365F" w:rsidP="00A22B92">
      <w:pPr>
        <w:ind w:firstLine="720"/>
        <w:rPr>
          <w:color w:val="215E99" w:themeColor="text2" w:themeTint="BF"/>
        </w:rPr>
      </w:pPr>
    </w:p>
    <w:p w14:paraId="79EAB2C2" w14:textId="77777777" w:rsidR="00002A0E" w:rsidRPr="00002A0E" w:rsidRDefault="00002A0E" w:rsidP="00002A0E">
      <w:r w:rsidRPr="00002A0E">
        <w:t>            Thank you for sharing the lighting plan. This pathway has been a topic of discussion with the Council’s ASB and Community Safety Team, as well as local police. Everyone agrees that a well-planned lighting and CCTV strategy is crucial for ensuring the route's safety.</w:t>
      </w:r>
    </w:p>
    <w:p w14:paraId="065D9EDB" w14:textId="77777777" w:rsidR="00002A0E" w:rsidRPr="00002A0E" w:rsidRDefault="00002A0E" w:rsidP="00002A0E">
      <w:r w:rsidRPr="00002A0E">
        <w:t>            According to CIBSE guidance for Pedestrian Areas and Cycle Paths, this area requires a higher peak illumination than 10 lux (as currently proposed) to provide clear visibility and enhance safety. Additionally, it's important to ensure a more even distribution of light with an acceptable contrast ratio. Currently, there is a significant contrast between illuminated areas (5-10 lux) and dark edges, making the edges feel unsafe. Using lighter-coloured paving would also increase the perception of brightness and make the space easier to visually understand.</w:t>
      </w:r>
    </w:p>
    <w:p w14:paraId="1919CCFC" w14:textId="207D49F8" w:rsidR="00FB261C" w:rsidRDefault="00FB261C" w:rsidP="00FB261C">
      <w:pPr>
        <w:rPr>
          <w:color w:val="215E99" w:themeColor="text2" w:themeTint="BF"/>
        </w:rPr>
      </w:pPr>
      <w:r w:rsidRPr="00FB261C">
        <w:rPr>
          <w:color w:val="215E99" w:themeColor="text2" w:themeTint="BF"/>
        </w:rPr>
        <w:t xml:space="preserve">Noted. </w:t>
      </w:r>
      <w:r w:rsidRPr="00BE16F8">
        <w:rPr>
          <w:color w:val="215E99" w:themeColor="text2" w:themeTint="BF"/>
          <w:lang w:val="en-US"/>
        </w:rPr>
        <w:t>Lighting design for the path through the SINC (Site of Importance for Nature Conservation) should address the real and perceived risks relating to darker areas at night, while minimizing the impact of the new route on sensitive ecology</w:t>
      </w:r>
      <w:r>
        <w:rPr>
          <w:color w:val="215E99" w:themeColor="text2" w:themeTint="BF"/>
        </w:rPr>
        <w:t>.</w:t>
      </w:r>
    </w:p>
    <w:p w14:paraId="4D153AEA" w14:textId="5460B2F0" w:rsidR="008D373C" w:rsidRDefault="008D373C" w:rsidP="00FB261C">
      <w:pPr>
        <w:rPr>
          <w:color w:val="215E99" w:themeColor="text2" w:themeTint="BF"/>
        </w:rPr>
      </w:pPr>
      <w:r>
        <w:rPr>
          <w:color w:val="215E99" w:themeColor="text2" w:themeTint="BF"/>
        </w:rPr>
        <w:lastRenderedPageBreak/>
        <w:t xml:space="preserve">External lighting is currently being revised to show the 15 Lux levels required on this area. </w:t>
      </w:r>
    </w:p>
    <w:p w14:paraId="7B97B865" w14:textId="7E8DA8CE" w:rsidR="00FB261C" w:rsidRPr="00FB261C" w:rsidRDefault="00FB261C" w:rsidP="00FB261C">
      <w:pPr>
        <w:rPr>
          <w:color w:val="215E99" w:themeColor="text2" w:themeTint="BF"/>
        </w:rPr>
      </w:pPr>
      <w:r w:rsidRPr="00FB261C">
        <w:rPr>
          <w:color w:val="215E99" w:themeColor="text2" w:themeTint="BF"/>
        </w:rPr>
        <w:t>The pedestrian route is already proposed as a (light) golden colour resin-bound aggregate. The cycle route through the SINC could be surfaced with a lighter, but still contrasting, paving material, potentially tying in with proposed cycleway surfacing in the adjacent Phase - material TBC. The vehicular circulation uses ‘bracken’ block pavers which are lighter-coloured than asphalt. There are slightly lighter tones in ‘natural’ or ‘buff’ if deemed necessary – see below for comparison:</w:t>
      </w:r>
    </w:p>
    <w:p w14:paraId="0689E458" w14:textId="77777777" w:rsidR="00FB261C" w:rsidRPr="00FB261C" w:rsidRDefault="00FB261C" w:rsidP="00FB261C">
      <w:pPr>
        <w:rPr>
          <w:color w:val="215E99" w:themeColor="text2" w:themeTint="BF"/>
        </w:rPr>
      </w:pPr>
      <w:r w:rsidRPr="00FB261C">
        <w:rPr>
          <w:color w:val="215E99" w:themeColor="text2" w:themeTint="BF"/>
        </w:rPr>
        <w:t>1. Bracken (as currently proposed):</w:t>
      </w:r>
    </w:p>
    <w:p w14:paraId="7309BBF0" w14:textId="357A30E2" w:rsidR="00FB261C" w:rsidRPr="00FB261C" w:rsidRDefault="00FB261C" w:rsidP="00FB261C">
      <w:r w:rsidRPr="00FB261C">
        <w:rPr>
          <w:noProof/>
        </w:rPr>
        <w:drawing>
          <wp:inline distT="0" distB="0" distL="0" distR="0" wp14:anchorId="6F0D2CEE" wp14:editId="56D39D3B">
            <wp:extent cx="1805354" cy="1356338"/>
            <wp:effectExtent l="0" t="0" r="4445" b="0"/>
            <wp:docPr id="16568356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821498" cy="1368466"/>
                    </a:xfrm>
                    <a:prstGeom prst="rect">
                      <a:avLst/>
                    </a:prstGeom>
                    <a:noFill/>
                    <a:ln>
                      <a:noFill/>
                    </a:ln>
                  </pic:spPr>
                </pic:pic>
              </a:graphicData>
            </a:graphic>
          </wp:inline>
        </w:drawing>
      </w:r>
    </w:p>
    <w:p w14:paraId="577BDA53" w14:textId="77777777" w:rsidR="00FB261C" w:rsidRPr="00FB261C" w:rsidRDefault="00FB261C" w:rsidP="00FB261C"/>
    <w:p w14:paraId="457390F9" w14:textId="77777777" w:rsidR="00FB261C" w:rsidRPr="00FB261C" w:rsidRDefault="00FB261C" w:rsidP="00FB261C">
      <w:pPr>
        <w:rPr>
          <w:color w:val="215E99" w:themeColor="text2" w:themeTint="BF"/>
        </w:rPr>
      </w:pPr>
      <w:r w:rsidRPr="00FB261C">
        <w:rPr>
          <w:color w:val="215E99" w:themeColor="text2" w:themeTint="BF"/>
        </w:rPr>
        <w:t>2. Natural:</w:t>
      </w:r>
    </w:p>
    <w:p w14:paraId="7D8D6CBB" w14:textId="312B3AF7" w:rsidR="00FB261C" w:rsidRPr="00FB261C" w:rsidRDefault="00FB261C" w:rsidP="00FB261C">
      <w:pPr>
        <w:rPr>
          <w:color w:val="215E99" w:themeColor="text2" w:themeTint="BF"/>
        </w:rPr>
      </w:pPr>
      <w:r w:rsidRPr="00FB261C">
        <w:rPr>
          <w:noProof/>
          <w:color w:val="215E99" w:themeColor="text2" w:themeTint="BF"/>
        </w:rPr>
        <w:drawing>
          <wp:inline distT="0" distB="0" distL="0" distR="0" wp14:anchorId="67819B6C" wp14:editId="5C5F808E">
            <wp:extent cx="1848485" cy="1389574"/>
            <wp:effectExtent l="0" t="0" r="0" b="1270"/>
            <wp:docPr id="1109601556" name="Picture 9" descr="A close-up of a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01556" name="Picture 9" descr="A close-up of a brick&#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55580" cy="1394908"/>
                    </a:xfrm>
                    <a:prstGeom prst="rect">
                      <a:avLst/>
                    </a:prstGeom>
                    <a:noFill/>
                    <a:ln>
                      <a:noFill/>
                    </a:ln>
                  </pic:spPr>
                </pic:pic>
              </a:graphicData>
            </a:graphic>
          </wp:inline>
        </w:drawing>
      </w:r>
    </w:p>
    <w:p w14:paraId="35913EB1" w14:textId="77777777" w:rsidR="00FB261C" w:rsidRPr="00FB261C" w:rsidRDefault="00FB261C" w:rsidP="00FB261C">
      <w:pPr>
        <w:rPr>
          <w:color w:val="215E99" w:themeColor="text2" w:themeTint="BF"/>
        </w:rPr>
      </w:pPr>
    </w:p>
    <w:p w14:paraId="201ED06A" w14:textId="77777777" w:rsidR="00FB261C" w:rsidRPr="00FB261C" w:rsidRDefault="00FB261C" w:rsidP="00FB261C">
      <w:pPr>
        <w:rPr>
          <w:color w:val="215E99" w:themeColor="text2" w:themeTint="BF"/>
        </w:rPr>
      </w:pPr>
      <w:r w:rsidRPr="00FB261C">
        <w:rPr>
          <w:color w:val="215E99" w:themeColor="text2" w:themeTint="BF"/>
        </w:rPr>
        <w:t>3. Buff:</w:t>
      </w:r>
    </w:p>
    <w:p w14:paraId="592E2A41" w14:textId="0377B4B9" w:rsidR="00FB261C" w:rsidRPr="00FB261C" w:rsidRDefault="00FB261C" w:rsidP="00FB261C">
      <w:r w:rsidRPr="00FB261C">
        <w:rPr>
          <w:noProof/>
        </w:rPr>
        <w:drawing>
          <wp:inline distT="0" distB="0" distL="0" distR="0" wp14:anchorId="72346CE7" wp14:editId="668FF4EB">
            <wp:extent cx="1849030" cy="1389184"/>
            <wp:effectExtent l="0" t="0" r="0" b="1905"/>
            <wp:docPr id="784149189" name="Picture 8" descr="A close-up of a brick walk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49189" name="Picture 8" descr="A close-up of a brick walkway&#10;&#10;Description automatically generated"/>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857988" cy="1395914"/>
                    </a:xfrm>
                    <a:prstGeom prst="rect">
                      <a:avLst/>
                    </a:prstGeom>
                    <a:noFill/>
                    <a:ln>
                      <a:noFill/>
                    </a:ln>
                  </pic:spPr>
                </pic:pic>
              </a:graphicData>
            </a:graphic>
          </wp:inline>
        </w:drawing>
      </w:r>
    </w:p>
    <w:p w14:paraId="3E52E954" w14:textId="77777777" w:rsidR="00002A0E" w:rsidRDefault="00002A0E"/>
    <w:sectPr w:rsidR="00002A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26A9C"/>
    <w:multiLevelType w:val="hybridMultilevel"/>
    <w:tmpl w:val="5C8A87A4"/>
    <w:lvl w:ilvl="0" w:tplc="2432F3A0">
      <w:numFmt w:val="bullet"/>
      <w:lvlText w:val=""/>
      <w:lvlJc w:val="left"/>
      <w:pPr>
        <w:ind w:left="828" w:hanging="339"/>
      </w:pPr>
      <w:rPr>
        <w:rFonts w:ascii="Symbol" w:eastAsia="Symbol" w:hAnsi="Symbol" w:cs="Symbol" w:hint="default"/>
        <w:b w:val="0"/>
        <w:bCs w:val="0"/>
        <w:i w:val="0"/>
        <w:iCs w:val="0"/>
        <w:spacing w:val="0"/>
        <w:w w:val="103"/>
        <w:sz w:val="20"/>
        <w:szCs w:val="20"/>
        <w:lang w:val="en-US" w:eastAsia="en-US" w:bidi="ar-SA"/>
      </w:rPr>
    </w:lvl>
    <w:lvl w:ilvl="1" w:tplc="F0966F30">
      <w:numFmt w:val="bullet"/>
      <w:lvlText w:val="•"/>
      <w:lvlJc w:val="left"/>
      <w:pPr>
        <w:ind w:left="1680" w:hanging="339"/>
      </w:pPr>
      <w:rPr>
        <w:lang w:val="en-US" w:eastAsia="en-US" w:bidi="ar-SA"/>
      </w:rPr>
    </w:lvl>
    <w:lvl w:ilvl="2" w:tplc="EDD827BC">
      <w:numFmt w:val="bullet"/>
      <w:lvlText w:val="•"/>
      <w:lvlJc w:val="left"/>
      <w:pPr>
        <w:ind w:left="2540" w:hanging="339"/>
      </w:pPr>
      <w:rPr>
        <w:lang w:val="en-US" w:eastAsia="en-US" w:bidi="ar-SA"/>
      </w:rPr>
    </w:lvl>
    <w:lvl w:ilvl="3" w:tplc="C7324FC6">
      <w:numFmt w:val="bullet"/>
      <w:lvlText w:val="•"/>
      <w:lvlJc w:val="left"/>
      <w:pPr>
        <w:ind w:left="3400" w:hanging="339"/>
      </w:pPr>
      <w:rPr>
        <w:lang w:val="en-US" w:eastAsia="en-US" w:bidi="ar-SA"/>
      </w:rPr>
    </w:lvl>
    <w:lvl w:ilvl="4" w:tplc="D92E554E">
      <w:numFmt w:val="bullet"/>
      <w:lvlText w:val="•"/>
      <w:lvlJc w:val="left"/>
      <w:pPr>
        <w:ind w:left="4260" w:hanging="339"/>
      </w:pPr>
      <w:rPr>
        <w:lang w:val="en-US" w:eastAsia="en-US" w:bidi="ar-SA"/>
      </w:rPr>
    </w:lvl>
    <w:lvl w:ilvl="5" w:tplc="253A7C72">
      <w:numFmt w:val="bullet"/>
      <w:lvlText w:val="•"/>
      <w:lvlJc w:val="left"/>
      <w:pPr>
        <w:ind w:left="5120" w:hanging="339"/>
      </w:pPr>
      <w:rPr>
        <w:lang w:val="en-US" w:eastAsia="en-US" w:bidi="ar-SA"/>
      </w:rPr>
    </w:lvl>
    <w:lvl w:ilvl="6" w:tplc="8EFCC4DE">
      <w:numFmt w:val="bullet"/>
      <w:lvlText w:val="•"/>
      <w:lvlJc w:val="left"/>
      <w:pPr>
        <w:ind w:left="5980" w:hanging="339"/>
      </w:pPr>
      <w:rPr>
        <w:lang w:val="en-US" w:eastAsia="en-US" w:bidi="ar-SA"/>
      </w:rPr>
    </w:lvl>
    <w:lvl w:ilvl="7" w:tplc="030E6EB8">
      <w:numFmt w:val="bullet"/>
      <w:lvlText w:val="•"/>
      <w:lvlJc w:val="left"/>
      <w:pPr>
        <w:ind w:left="6840" w:hanging="339"/>
      </w:pPr>
      <w:rPr>
        <w:lang w:val="en-US" w:eastAsia="en-US" w:bidi="ar-SA"/>
      </w:rPr>
    </w:lvl>
    <w:lvl w:ilvl="8" w:tplc="1B6C50C4">
      <w:numFmt w:val="bullet"/>
      <w:lvlText w:val="•"/>
      <w:lvlJc w:val="left"/>
      <w:pPr>
        <w:ind w:left="7700" w:hanging="339"/>
      </w:pPr>
      <w:rPr>
        <w:lang w:val="en-US" w:eastAsia="en-US" w:bidi="ar-SA"/>
      </w:rPr>
    </w:lvl>
  </w:abstractNum>
  <w:abstractNum w:abstractNumId="1" w15:restartNumberingAfterBreak="0">
    <w:nsid w:val="09687ECB"/>
    <w:multiLevelType w:val="hybridMultilevel"/>
    <w:tmpl w:val="7CB0F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E3E596B"/>
    <w:multiLevelType w:val="hybridMultilevel"/>
    <w:tmpl w:val="6C126C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448861E0"/>
    <w:multiLevelType w:val="hybridMultilevel"/>
    <w:tmpl w:val="15F01DD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5E244FB8"/>
    <w:multiLevelType w:val="hybridMultilevel"/>
    <w:tmpl w:val="35BE4C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78998926">
    <w:abstractNumId w:val="1"/>
  </w:num>
  <w:num w:numId="2" w16cid:durableId="1384213984">
    <w:abstractNumId w:val="0"/>
  </w:num>
  <w:num w:numId="3" w16cid:durableId="1250770685">
    <w:abstractNumId w:val="3"/>
  </w:num>
  <w:num w:numId="4" w16cid:durableId="266890578">
    <w:abstractNumId w:val="2"/>
  </w:num>
  <w:num w:numId="5" w16cid:durableId="430317575">
    <w:abstractNumId w:val="1"/>
  </w:num>
  <w:num w:numId="6" w16cid:durableId="1393118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A0E"/>
    <w:rsid w:val="00002A0E"/>
    <w:rsid w:val="00493817"/>
    <w:rsid w:val="007C212D"/>
    <w:rsid w:val="008A34E3"/>
    <w:rsid w:val="008D373C"/>
    <w:rsid w:val="00945701"/>
    <w:rsid w:val="00A22B92"/>
    <w:rsid w:val="00B9365F"/>
    <w:rsid w:val="00BE16F8"/>
    <w:rsid w:val="00FB2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11FE3"/>
  <w15:chartTrackingRefBased/>
  <w15:docId w15:val="{D5B23C52-B731-4303-B523-5B400D44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A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A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A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A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A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A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A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A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A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A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A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A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A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A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A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A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A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A0E"/>
    <w:rPr>
      <w:rFonts w:eastAsiaTheme="majorEastAsia" w:cstheme="majorBidi"/>
      <w:color w:val="272727" w:themeColor="text1" w:themeTint="D8"/>
    </w:rPr>
  </w:style>
  <w:style w:type="paragraph" w:styleId="Title">
    <w:name w:val="Title"/>
    <w:basedOn w:val="Normal"/>
    <w:next w:val="Normal"/>
    <w:link w:val="TitleChar"/>
    <w:uiPriority w:val="10"/>
    <w:qFormat/>
    <w:rsid w:val="00002A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A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A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A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A0E"/>
    <w:pPr>
      <w:spacing w:before="160"/>
      <w:jc w:val="center"/>
    </w:pPr>
    <w:rPr>
      <w:i/>
      <w:iCs/>
      <w:color w:val="404040" w:themeColor="text1" w:themeTint="BF"/>
    </w:rPr>
  </w:style>
  <w:style w:type="character" w:customStyle="1" w:styleId="QuoteChar">
    <w:name w:val="Quote Char"/>
    <w:basedOn w:val="DefaultParagraphFont"/>
    <w:link w:val="Quote"/>
    <w:uiPriority w:val="29"/>
    <w:rsid w:val="00002A0E"/>
    <w:rPr>
      <w:i/>
      <w:iCs/>
      <w:color w:val="404040" w:themeColor="text1" w:themeTint="BF"/>
    </w:rPr>
  </w:style>
  <w:style w:type="paragraph" w:styleId="ListParagraph">
    <w:name w:val="List Paragraph"/>
    <w:basedOn w:val="Normal"/>
    <w:uiPriority w:val="34"/>
    <w:qFormat/>
    <w:rsid w:val="00002A0E"/>
    <w:pPr>
      <w:ind w:left="720"/>
      <w:contextualSpacing/>
    </w:pPr>
  </w:style>
  <w:style w:type="character" w:styleId="IntenseEmphasis">
    <w:name w:val="Intense Emphasis"/>
    <w:basedOn w:val="DefaultParagraphFont"/>
    <w:uiPriority w:val="21"/>
    <w:qFormat/>
    <w:rsid w:val="00002A0E"/>
    <w:rPr>
      <w:i/>
      <w:iCs/>
      <w:color w:val="0F4761" w:themeColor="accent1" w:themeShade="BF"/>
    </w:rPr>
  </w:style>
  <w:style w:type="paragraph" w:styleId="IntenseQuote">
    <w:name w:val="Intense Quote"/>
    <w:basedOn w:val="Normal"/>
    <w:next w:val="Normal"/>
    <w:link w:val="IntenseQuoteChar"/>
    <w:uiPriority w:val="30"/>
    <w:qFormat/>
    <w:rsid w:val="00002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A0E"/>
    <w:rPr>
      <w:i/>
      <w:iCs/>
      <w:color w:val="0F4761" w:themeColor="accent1" w:themeShade="BF"/>
    </w:rPr>
  </w:style>
  <w:style w:type="character" w:styleId="IntenseReference">
    <w:name w:val="Intense Reference"/>
    <w:basedOn w:val="DefaultParagraphFont"/>
    <w:uiPriority w:val="32"/>
    <w:qFormat/>
    <w:rsid w:val="00002A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917011">
      <w:bodyDiv w:val="1"/>
      <w:marLeft w:val="0"/>
      <w:marRight w:val="0"/>
      <w:marTop w:val="0"/>
      <w:marBottom w:val="0"/>
      <w:divBdr>
        <w:top w:val="none" w:sz="0" w:space="0" w:color="auto"/>
        <w:left w:val="none" w:sz="0" w:space="0" w:color="auto"/>
        <w:bottom w:val="none" w:sz="0" w:space="0" w:color="auto"/>
        <w:right w:val="none" w:sz="0" w:space="0" w:color="auto"/>
      </w:divBdr>
    </w:div>
    <w:div w:id="583876035">
      <w:bodyDiv w:val="1"/>
      <w:marLeft w:val="0"/>
      <w:marRight w:val="0"/>
      <w:marTop w:val="0"/>
      <w:marBottom w:val="0"/>
      <w:divBdr>
        <w:top w:val="none" w:sz="0" w:space="0" w:color="auto"/>
        <w:left w:val="none" w:sz="0" w:space="0" w:color="auto"/>
        <w:bottom w:val="none" w:sz="0" w:space="0" w:color="auto"/>
        <w:right w:val="none" w:sz="0" w:space="0" w:color="auto"/>
      </w:divBdr>
    </w:div>
    <w:div w:id="610480685">
      <w:bodyDiv w:val="1"/>
      <w:marLeft w:val="0"/>
      <w:marRight w:val="0"/>
      <w:marTop w:val="0"/>
      <w:marBottom w:val="0"/>
      <w:divBdr>
        <w:top w:val="none" w:sz="0" w:space="0" w:color="auto"/>
        <w:left w:val="none" w:sz="0" w:space="0" w:color="auto"/>
        <w:bottom w:val="none" w:sz="0" w:space="0" w:color="auto"/>
        <w:right w:val="none" w:sz="0" w:space="0" w:color="auto"/>
      </w:divBdr>
    </w:div>
    <w:div w:id="668412637">
      <w:bodyDiv w:val="1"/>
      <w:marLeft w:val="0"/>
      <w:marRight w:val="0"/>
      <w:marTop w:val="0"/>
      <w:marBottom w:val="0"/>
      <w:divBdr>
        <w:top w:val="none" w:sz="0" w:space="0" w:color="auto"/>
        <w:left w:val="none" w:sz="0" w:space="0" w:color="auto"/>
        <w:bottom w:val="none" w:sz="0" w:space="0" w:color="auto"/>
        <w:right w:val="none" w:sz="0" w:space="0" w:color="auto"/>
      </w:divBdr>
    </w:div>
    <w:div w:id="921138620">
      <w:bodyDiv w:val="1"/>
      <w:marLeft w:val="0"/>
      <w:marRight w:val="0"/>
      <w:marTop w:val="0"/>
      <w:marBottom w:val="0"/>
      <w:divBdr>
        <w:top w:val="none" w:sz="0" w:space="0" w:color="auto"/>
        <w:left w:val="none" w:sz="0" w:space="0" w:color="auto"/>
        <w:bottom w:val="none" w:sz="0" w:space="0" w:color="auto"/>
        <w:right w:val="none" w:sz="0" w:space="0" w:color="auto"/>
      </w:divBdr>
    </w:div>
    <w:div w:id="1021322888">
      <w:bodyDiv w:val="1"/>
      <w:marLeft w:val="0"/>
      <w:marRight w:val="0"/>
      <w:marTop w:val="0"/>
      <w:marBottom w:val="0"/>
      <w:divBdr>
        <w:top w:val="none" w:sz="0" w:space="0" w:color="auto"/>
        <w:left w:val="none" w:sz="0" w:space="0" w:color="auto"/>
        <w:bottom w:val="none" w:sz="0" w:space="0" w:color="auto"/>
        <w:right w:val="none" w:sz="0" w:space="0" w:color="auto"/>
      </w:divBdr>
    </w:div>
    <w:div w:id="1389500138">
      <w:bodyDiv w:val="1"/>
      <w:marLeft w:val="0"/>
      <w:marRight w:val="0"/>
      <w:marTop w:val="0"/>
      <w:marBottom w:val="0"/>
      <w:divBdr>
        <w:top w:val="none" w:sz="0" w:space="0" w:color="auto"/>
        <w:left w:val="none" w:sz="0" w:space="0" w:color="auto"/>
        <w:bottom w:val="none" w:sz="0" w:space="0" w:color="auto"/>
        <w:right w:val="none" w:sz="0" w:space="0" w:color="auto"/>
      </w:divBdr>
    </w:div>
    <w:div w:id="1423137224">
      <w:bodyDiv w:val="1"/>
      <w:marLeft w:val="0"/>
      <w:marRight w:val="0"/>
      <w:marTop w:val="0"/>
      <w:marBottom w:val="0"/>
      <w:divBdr>
        <w:top w:val="none" w:sz="0" w:space="0" w:color="auto"/>
        <w:left w:val="none" w:sz="0" w:space="0" w:color="auto"/>
        <w:bottom w:val="none" w:sz="0" w:space="0" w:color="auto"/>
        <w:right w:val="none" w:sz="0" w:space="0" w:color="auto"/>
      </w:divBdr>
    </w:div>
    <w:div w:id="161686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cid:image014.jpg@01DAFD62.ED88AA7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cid:image016.jpg@01DAFD63.2A126850" TargetMode="Externa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cid:image015.jpg@01DAFD63.2A1268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Suarez</dc:creator>
  <cp:keywords/>
  <dc:description/>
  <cp:lastModifiedBy>Dennys Suarez</cp:lastModifiedBy>
  <cp:revision>4</cp:revision>
  <dcterms:created xsi:type="dcterms:W3CDTF">2024-09-25T08:43:00Z</dcterms:created>
  <dcterms:modified xsi:type="dcterms:W3CDTF">2024-09-25T11:56:00Z</dcterms:modified>
</cp:coreProperties>
</file>